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CA" w:rsidRDefault="00243DCA" w:rsidP="00243DCA">
      <w:pPr>
        <w:ind w:firstLine="426"/>
        <w:jc w:val="center"/>
        <w:rPr>
          <w:b/>
          <w:sz w:val="26"/>
          <w:szCs w:val="26"/>
          <w:u w:val="single"/>
          <w:lang w:val="uk-UA" w:eastAsia="uk-UA"/>
        </w:rPr>
      </w:pPr>
      <w:r>
        <w:rPr>
          <w:b/>
          <w:sz w:val="26"/>
          <w:szCs w:val="26"/>
          <w:u w:val="single"/>
          <w:lang w:val="uk-UA" w:eastAsia="uk-UA"/>
        </w:rPr>
        <w:t>Підсумки виконання міського бюджету Миколаївської міської ради</w:t>
      </w:r>
    </w:p>
    <w:p w:rsidR="002C2392" w:rsidRPr="00253DDD" w:rsidRDefault="00243DCA" w:rsidP="00243DCA">
      <w:pPr>
        <w:ind w:firstLine="426"/>
        <w:jc w:val="center"/>
        <w:rPr>
          <w:b/>
          <w:sz w:val="26"/>
          <w:szCs w:val="26"/>
          <w:u w:val="single"/>
          <w:lang w:val="uk-UA" w:eastAsia="uk-UA"/>
        </w:rPr>
      </w:pPr>
      <w:r>
        <w:rPr>
          <w:b/>
          <w:sz w:val="26"/>
          <w:szCs w:val="26"/>
          <w:u w:val="single"/>
          <w:lang w:val="uk-UA" w:eastAsia="uk-UA"/>
        </w:rPr>
        <w:t xml:space="preserve"> за 2025 рік</w:t>
      </w:r>
    </w:p>
    <w:p w:rsidR="002C2392" w:rsidRPr="00253DDD" w:rsidRDefault="002C2392" w:rsidP="002C2392">
      <w:pPr>
        <w:ind w:firstLine="426"/>
        <w:jc w:val="both"/>
        <w:rPr>
          <w:b/>
          <w:sz w:val="26"/>
          <w:szCs w:val="26"/>
          <w:u w:val="single"/>
          <w:lang w:val="uk-UA" w:eastAsia="uk-UA"/>
        </w:rPr>
      </w:pPr>
    </w:p>
    <w:p w:rsidR="00D070DF" w:rsidRPr="00253DDD" w:rsidRDefault="00D070DF" w:rsidP="00D070DF">
      <w:pPr>
        <w:ind w:firstLine="708"/>
        <w:jc w:val="both"/>
        <w:rPr>
          <w:sz w:val="26"/>
          <w:szCs w:val="26"/>
        </w:rPr>
      </w:pPr>
      <w:r w:rsidRPr="00253DDD">
        <w:rPr>
          <w:sz w:val="26"/>
          <w:szCs w:val="26"/>
        </w:rPr>
        <w:t xml:space="preserve">Одним з </w:t>
      </w:r>
      <w:proofErr w:type="spellStart"/>
      <w:proofErr w:type="gramStart"/>
      <w:r w:rsidRPr="00253DDD">
        <w:rPr>
          <w:sz w:val="26"/>
          <w:szCs w:val="26"/>
        </w:rPr>
        <w:t>пр</w:t>
      </w:r>
      <w:proofErr w:type="gramEnd"/>
      <w:r w:rsidRPr="00253DDD">
        <w:rPr>
          <w:sz w:val="26"/>
          <w:szCs w:val="26"/>
        </w:rPr>
        <w:t>іоритетних</w:t>
      </w:r>
      <w:proofErr w:type="spellEnd"/>
      <w:r w:rsidRPr="00253DDD">
        <w:rPr>
          <w:sz w:val="26"/>
          <w:szCs w:val="26"/>
        </w:rPr>
        <w:t xml:space="preserve"> </w:t>
      </w:r>
      <w:proofErr w:type="spellStart"/>
      <w:r w:rsidRPr="00253DDD">
        <w:rPr>
          <w:sz w:val="26"/>
          <w:szCs w:val="26"/>
        </w:rPr>
        <w:t>завдань</w:t>
      </w:r>
      <w:proofErr w:type="spellEnd"/>
      <w:r w:rsidRPr="00253DDD">
        <w:rPr>
          <w:sz w:val="26"/>
          <w:szCs w:val="26"/>
        </w:rPr>
        <w:t xml:space="preserve">, </w:t>
      </w:r>
      <w:proofErr w:type="spellStart"/>
      <w:r w:rsidRPr="00253DDD">
        <w:rPr>
          <w:sz w:val="26"/>
          <w:szCs w:val="26"/>
        </w:rPr>
        <w:t>які</w:t>
      </w:r>
      <w:proofErr w:type="spellEnd"/>
      <w:r w:rsidRPr="00253DDD">
        <w:rPr>
          <w:sz w:val="26"/>
          <w:szCs w:val="26"/>
        </w:rPr>
        <w:t xml:space="preserve"> </w:t>
      </w:r>
      <w:proofErr w:type="spellStart"/>
      <w:r w:rsidRPr="00253DDD">
        <w:rPr>
          <w:sz w:val="26"/>
          <w:szCs w:val="26"/>
        </w:rPr>
        <w:t>ставилися</w:t>
      </w:r>
      <w:proofErr w:type="spellEnd"/>
      <w:r w:rsidRPr="00253DDD">
        <w:rPr>
          <w:sz w:val="26"/>
          <w:szCs w:val="26"/>
        </w:rPr>
        <w:t xml:space="preserve"> у 202</w:t>
      </w:r>
      <w:r w:rsidR="00AA20BC" w:rsidRPr="00253DDD">
        <w:rPr>
          <w:sz w:val="26"/>
          <w:szCs w:val="26"/>
        </w:rPr>
        <w:t>5</w:t>
      </w:r>
      <w:r w:rsidRPr="00253DDD">
        <w:rPr>
          <w:sz w:val="26"/>
          <w:szCs w:val="26"/>
        </w:rPr>
        <w:t xml:space="preserve"> </w:t>
      </w:r>
      <w:proofErr w:type="spellStart"/>
      <w:r w:rsidRPr="00253DDD">
        <w:rPr>
          <w:sz w:val="26"/>
          <w:szCs w:val="26"/>
        </w:rPr>
        <w:t>році</w:t>
      </w:r>
      <w:proofErr w:type="spellEnd"/>
      <w:r w:rsidRPr="00253DDD">
        <w:rPr>
          <w:sz w:val="26"/>
          <w:szCs w:val="26"/>
        </w:rPr>
        <w:t xml:space="preserve"> – </w:t>
      </w:r>
      <w:proofErr w:type="spellStart"/>
      <w:r w:rsidRPr="00253DDD">
        <w:rPr>
          <w:sz w:val="26"/>
          <w:szCs w:val="26"/>
        </w:rPr>
        <w:t>це</w:t>
      </w:r>
      <w:proofErr w:type="spellEnd"/>
      <w:r w:rsidRPr="00253DDD">
        <w:rPr>
          <w:sz w:val="26"/>
          <w:szCs w:val="26"/>
        </w:rPr>
        <w:t xml:space="preserve"> </w:t>
      </w:r>
      <w:proofErr w:type="spellStart"/>
      <w:r w:rsidRPr="00253DDD">
        <w:rPr>
          <w:sz w:val="26"/>
          <w:szCs w:val="26"/>
        </w:rPr>
        <w:t>наповнення</w:t>
      </w:r>
      <w:proofErr w:type="spellEnd"/>
      <w:r w:rsidRPr="00253DDD">
        <w:rPr>
          <w:sz w:val="26"/>
          <w:szCs w:val="26"/>
        </w:rPr>
        <w:t xml:space="preserve"> </w:t>
      </w:r>
      <w:proofErr w:type="spellStart"/>
      <w:r w:rsidRPr="00253DDD">
        <w:rPr>
          <w:sz w:val="26"/>
          <w:szCs w:val="26"/>
        </w:rPr>
        <w:t>міського</w:t>
      </w:r>
      <w:proofErr w:type="spellEnd"/>
      <w:r w:rsidRPr="00253DDD">
        <w:rPr>
          <w:sz w:val="26"/>
          <w:szCs w:val="26"/>
        </w:rPr>
        <w:t xml:space="preserve"> бюджету.</w:t>
      </w:r>
      <w:r w:rsidR="00E151FF" w:rsidRPr="00253DDD">
        <w:rPr>
          <w:sz w:val="26"/>
          <w:szCs w:val="26"/>
          <w:lang w:val="uk-UA"/>
        </w:rPr>
        <w:t xml:space="preserve"> Так, міський бюджет у 202</w:t>
      </w:r>
      <w:r w:rsidR="00E151FF" w:rsidRPr="00253DDD">
        <w:rPr>
          <w:sz w:val="26"/>
          <w:szCs w:val="26"/>
        </w:rPr>
        <w:t>5</w:t>
      </w:r>
      <w:r w:rsidRPr="00253DDD">
        <w:rPr>
          <w:sz w:val="26"/>
          <w:szCs w:val="26"/>
          <w:lang w:val="uk-UA"/>
        </w:rPr>
        <w:t xml:space="preserve"> році по доходах загального фонду без врахування міжбюджетних трансфертів  виконано на </w:t>
      </w:r>
      <w:r w:rsidR="00E151FF" w:rsidRPr="00253DDD">
        <w:rPr>
          <w:sz w:val="26"/>
          <w:szCs w:val="26"/>
          <w:lang w:val="uk-UA"/>
        </w:rPr>
        <w:t>105,4</w:t>
      </w:r>
      <w:r w:rsidRPr="00253DDD">
        <w:rPr>
          <w:sz w:val="26"/>
          <w:szCs w:val="26"/>
          <w:lang w:val="uk-UA"/>
        </w:rPr>
        <w:t xml:space="preserve"> %, при  уточненому плані </w:t>
      </w:r>
      <w:r w:rsidR="00E151FF" w:rsidRPr="00253DDD">
        <w:rPr>
          <w:sz w:val="26"/>
          <w:szCs w:val="26"/>
          <w:lang w:val="uk-UA"/>
        </w:rPr>
        <w:t>313 282,0</w:t>
      </w:r>
      <w:r w:rsidRPr="00253DDD">
        <w:rPr>
          <w:sz w:val="26"/>
          <w:szCs w:val="26"/>
          <w:lang w:val="uk-UA"/>
        </w:rPr>
        <w:t xml:space="preserve"> тис.</w:t>
      </w:r>
      <w:r w:rsidR="00E151FF" w:rsidRPr="00253DDD">
        <w:rPr>
          <w:sz w:val="26"/>
          <w:szCs w:val="26"/>
          <w:lang w:val="uk-UA"/>
        </w:rPr>
        <w:t xml:space="preserve"> </w:t>
      </w:r>
      <w:r w:rsidRPr="00253DDD">
        <w:rPr>
          <w:sz w:val="26"/>
          <w:szCs w:val="26"/>
          <w:lang w:val="uk-UA"/>
        </w:rPr>
        <w:t xml:space="preserve">грн. в бюджет фактично надійшло </w:t>
      </w:r>
      <w:r w:rsidR="00E151FF" w:rsidRPr="00253DDD">
        <w:rPr>
          <w:sz w:val="26"/>
          <w:szCs w:val="26"/>
          <w:lang w:val="uk-UA"/>
        </w:rPr>
        <w:t>330 353,2</w:t>
      </w:r>
      <w:r w:rsidRPr="00253DDD">
        <w:rPr>
          <w:sz w:val="26"/>
          <w:szCs w:val="26"/>
          <w:lang w:val="uk-UA"/>
        </w:rPr>
        <w:t xml:space="preserve"> тис.</w:t>
      </w:r>
      <w:r w:rsidR="00E151FF" w:rsidRPr="00253DDD">
        <w:rPr>
          <w:sz w:val="26"/>
          <w:szCs w:val="26"/>
          <w:lang w:val="uk-UA"/>
        </w:rPr>
        <w:t xml:space="preserve"> </w:t>
      </w:r>
      <w:r w:rsidRPr="00253DDD">
        <w:rPr>
          <w:sz w:val="26"/>
          <w:szCs w:val="26"/>
          <w:lang w:val="uk-UA"/>
        </w:rPr>
        <w:t xml:space="preserve">грн., додатково надійшло </w:t>
      </w:r>
      <w:r w:rsidR="00E151FF" w:rsidRPr="00253DDD">
        <w:rPr>
          <w:sz w:val="26"/>
          <w:szCs w:val="26"/>
          <w:lang w:val="uk-UA"/>
        </w:rPr>
        <w:t xml:space="preserve">17 071,1 </w:t>
      </w:r>
      <w:r w:rsidRPr="00253DDD">
        <w:rPr>
          <w:sz w:val="26"/>
          <w:szCs w:val="26"/>
          <w:lang w:val="uk-UA"/>
        </w:rPr>
        <w:t>тис.</w:t>
      </w:r>
      <w:r w:rsidR="00E151FF" w:rsidRPr="00253DDD">
        <w:rPr>
          <w:sz w:val="26"/>
          <w:szCs w:val="26"/>
          <w:lang w:val="uk-UA"/>
        </w:rPr>
        <w:t xml:space="preserve"> </w:t>
      </w:r>
      <w:r w:rsidRPr="00253DDD">
        <w:rPr>
          <w:sz w:val="26"/>
          <w:szCs w:val="26"/>
          <w:lang w:val="uk-UA"/>
        </w:rPr>
        <w:t xml:space="preserve">гривень. В порівнянні з фактичними показниками </w:t>
      </w:r>
      <w:r w:rsidR="00E151FF" w:rsidRPr="00253DDD">
        <w:rPr>
          <w:sz w:val="26"/>
          <w:szCs w:val="26"/>
          <w:lang w:val="uk-UA"/>
        </w:rPr>
        <w:t>2024 року, обсяг надходжень у 2025</w:t>
      </w:r>
      <w:r w:rsidRPr="00253DDD">
        <w:rPr>
          <w:sz w:val="26"/>
          <w:szCs w:val="26"/>
          <w:lang w:val="uk-UA"/>
        </w:rPr>
        <w:t xml:space="preserve"> році зріс на </w:t>
      </w:r>
      <w:r w:rsidR="00E151FF" w:rsidRPr="00253DDD">
        <w:rPr>
          <w:sz w:val="26"/>
          <w:szCs w:val="26"/>
          <w:lang w:val="uk-UA"/>
        </w:rPr>
        <w:t>24,0% або 64 041,8 тис. гривень.</w:t>
      </w:r>
    </w:p>
    <w:p w:rsidR="00D070DF" w:rsidRPr="00253DDD" w:rsidRDefault="00D070DF" w:rsidP="00D070DF">
      <w:pPr>
        <w:ind w:firstLine="708"/>
        <w:jc w:val="both"/>
        <w:rPr>
          <w:sz w:val="26"/>
          <w:szCs w:val="26"/>
          <w:lang w:val="uk-UA"/>
        </w:rPr>
      </w:pPr>
      <w:proofErr w:type="spellStart"/>
      <w:r w:rsidRPr="00253DDD">
        <w:rPr>
          <w:sz w:val="26"/>
          <w:szCs w:val="26"/>
        </w:rPr>
        <w:t>Бюджетоутворюючим</w:t>
      </w:r>
      <w:proofErr w:type="spellEnd"/>
      <w:r w:rsidRPr="00253DDD">
        <w:rPr>
          <w:sz w:val="26"/>
          <w:szCs w:val="26"/>
        </w:rPr>
        <w:t xml:space="preserve"> </w:t>
      </w:r>
      <w:proofErr w:type="spellStart"/>
      <w:r w:rsidRPr="00253DDD">
        <w:rPr>
          <w:sz w:val="26"/>
          <w:szCs w:val="26"/>
        </w:rPr>
        <w:t>податком</w:t>
      </w:r>
      <w:proofErr w:type="spellEnd"/>
      <w:r w:rsidRPr="00253DDD">
        <w:rPr>
          <w:sz w:val="26"/>
          <w:szCs w:val="26"/>
        </w:rPr>
        <w:t xml:space="preserve"> </w:t>
      </w:r>
      <w:proofErr w:type="spellStart"/>
      <w:r w:rsidRPr="00253DDD">
        <w:rPr>
          <w:sz w:val="26"/>
          <w:szCs w:val="26"/>
        </w:rPr>
        <w:t>залишається</w:t>
      </w:r>
      <w:proofErr w:type="spellEnd"/>
      <w:r w:rsidRPr="00253DDD">
        <w:rPr>
          <w:sz w:val="26"/>
          <w:szCs w:val="26"/>
        </w:rPr>
        <w:t xml:space="preserve"> </w:t>
      </w:r>
      <w:proofErr w:type="spellStart"/>
      <w:r w:rsidRPr="00253DDD">
        <w:rPr>
          <w:sz w:val="26"/>
          <w:szCs w:val="26"/>
        </w:rPr>
        <w:t>податок</w:t>
      </w:r>
      <w:proofErr w:type="spellEnd"/>
      <w:r w:rsidRPr="00253DDD">
        <w:rPr>
          <w:sz w:val="26"/>
          <w:szCs w:val="26"/>
        </w:rPr>
        <w:t xml:space="preserve"> </w:t>
      </w:r>
      <w:proofErr w:type="gramStart"/>
      <w:r w:rsidRPr="00253DDD">
        <w:rPr>
          <w:sz w:val="26"/>
          <w:szCs w:val="26"/>
        </w:rPr>
        <w:t>на доходи</w:t>
      </w:r>
      <w:proofErr w:type="gramEnd"/>
      <w:r w:rsidRPr="00253DDD">
        <w:rPr>
          <w:sz w:val="26"/>
          <w:szCs w:val="26"/>
        </w:rPr>
        <w:t xml:space="preserve"> </w:t>
      </w:r>
      <w:proofErr w:type="spellStart"/>
      <w:r w:rsidRPr="00253DDD">
        <w:rPr>
          <w:sz w:val="26"/>
          <w:szCs w:val="26"/>
        </w:rPr>
        <w:t>фізичних</w:t>
      </w:r>
      <w:proofErr w:type="spellEnd"/>
      <w:r w:rsidRPr="00253DDD">
        <w:rPr>
          <w:sz w:val="26"/>
          <w:szCs w:val="26"/>
        </w:rPr>
        <w:t xml:space="preserve"> </w:t>
      </w:r>
      <w:proofErr w:type="spellStart"/>
      <w:r w:rsidRPr="00253DDD">
        <w:rPr>
          <w:sz w:val="26"/>
          <w:szCs w:val="26"/>
        </w:rPr>
        <w:t>осіб</w:t>
      </w:r>
      <w:proofErr w:type="spellEnd"/>
      <w:r w:rsidRPr="00253DDD">
        <w:rPr>
          <w:sz w:val="26"/>
          <w:szCs w:val="26"/>
        </w:rPr>
        <w:t xml:space="preserve">. </w:t>
      </w:r>
      <w:proofErr w:type="spellStart"/>
      <w:r w:rsidRPr="00253DDD">
        <w:rPr>
          <w:sz w:val="26"/>
          <w:szCs w:val="26"/>
        </w:rPr>
        <w:t>Зокрема</w:t>
      </w:r>
      <w:proofErr w:type="spellEnd"/>
      <w:r w:rsidRPr="00253DDD">
        <w:rPr>
          <w:sz w:val="26"/>
          <w:szCs w:val="26"/>
        </w:rPr>
        <w:t xml:space="preserve">, структуру </w:t>
      </w:r>
      <w:proofErr w:type="spellStart"/>
      <w:r w:rsidRPr="00253DDD">
        <w:rPr>
          <w:sz w:val="26"/>
          <w:szCs w:val="26"/>
        </w:rPr>
        <w:t>доходів</w:t>
      </w:r>
      <w:proofErr w:type="spellEnd"/>
      <w:r w:rsidRPr="00253DDD">
        <w:rPr>
          <w:sz w:val="26"/>
          <w:szCs w:val="26"/>
        </w:rPr>
        <w:t xml:space="preserve"> </w:t>
      </w:r>
      <w:proofErr w:type="spellStart"/>
      <w:r w:rsidRPr="00253DDD">
        <w:rPr>
          <w:sz w:val="26"/>
          <w:szCs w:val="26"/>
        </w:rPr>
        <w:t>міського</w:t>
      </w:r>
      <w:proofErr w:type="spellEnd"/>
      <w:r w:rsidRPr="00253DDD">
        <w:rPr>
          <w:sz w:val="26"/>
          <w:szCs w:val="26"/>
        </w:rPr>
        <w:t xml:space="preserve"> бюджету показано в </w:t>
      </w:r>
      <w:proofErr w:type="spellStart"/>
      <w:r w:rsidRPr="00253DDD">
        <w:rPr>
          <w:sz w:val="26"/>
          <w:szCs w:val="26"/>
        </w:rPr>
        <w:t>діаграмі</w:t>
      </w:r>
      <w:proofErr w:type="spellEnd"/>
      <w:r w:rsidRPr="00253DDD">
        <w:rPr>
          <w:sz w:val="26"/>
          <w:szCs w:val="26"/>
        </w:rPr>
        <w:t>:</w:t>
      </w:r>
    </w:p>
    <w:p w:rsidR="00D070DF" w:rsidRPr="00253DDD" w:rsidRDefault="00D070DF" w:rsidP="00D070DF">
      <w:pPr>
        <w:ind w:firstLine="708"/>
        <w:jc w:val="right"/>
        <w:rPr>
          <w:b/>
          <w:sz w:val="26"/>
          <w:szCs w:val="26"/>
          <w:lang w:val="uk-UA" w:eastAsia="en-US"/>
        </w:rPr>
      </w:pPr>
    </w:p>
    <w:p w:rsidR="00D070DF" w:rsidRPr="00253DDD" w:rsidRDefault="00D070DF" w:rsidP="00D070DF">
      <w:pPr>
        <w:ind w:firstLine="708"/>
        <w:jc w:val="right"/>
        <w:rPr>
          <w:b/>
          <w:sz w:val="26"/>
          <w:szCs w:val="26"/>
          <w:lang w:val="uk-UA" w:eastAsia="en-US"/>
        </w:rPr>
      </w:pPr>
      <w:r w:rsidRPr="00253DDD">
        <w:rPr>
          <w:b/>
          <w:sz w:val="26"/>
          <w:szCs w:val="26"/>
          <w:lang w:val="uk-UA" w:eastAsia="en-US"/>
        </w:rPr>
        <w:t>Діаграма 1</w:t>
      </w:r>
    </w:p>
    <w:p w:rsidR="00D070DF" w:rsidRPr="00253DDD" w:rsidRDefault="00D070DF" w:rsidP="00D070DF">
      <w:pPr>
        <w:ind w:firstLine="708"/>
        <w:jc w:val="center"/>
        <w:rPr>
          <w:b/>
          <w:sz w:val="26"/>
          <w:szCs w:val="26"/>
          <w:lang w:val="uk-UA" w:eastAsia="en-US"/>
        </w:rPr>
      </w:pPr>
    </w:p>
    <w:p w:rsidR="00D070DF" w:rsidRPr="00253DDD" w:rsidRDefault="00D070DF" w:rsidP="00D070DF">
      <w:pPr>
        <w:ind w:firstLine="708"/>
        <w:rPr>
          <w:b/>
          <w:sz w:val="26"/>
          <w:szCs w:val="26"/>
          <w:lang w:val="uk-UA" w:eastAsia="en-US"/>
        </w:rPr>
      </w:pPr>
      <w:r w:rsidRPr="00253DDD">
        <w:rPr>
          <w:b/>
          <w:noProof/>
          <w:sz w:val="26"/>
          <w:szCs w:val="26"/>
          <w:lang w:val="uk-UA" w:eastAsia="uk-UA"/>
        </w:rPr>
        <w:drawing>
          <wp:inline distT="0" distB="0" distL="0" distR="0" wp14:anchorId="199A4D9D" wp14:editId="4FA04784">
            <wp:extent cx="5494020" cy="3802380"/>
            <wp:effectExtent l="0" t="0" r="11430" b="2667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070DF" w:rsidRPr="00253DDD" w:rsidRDefault="00D070DF" w:rsidP="00D070DF">
      <w:pPr>
        <w:ind w:firstLine="708"/>
        <w:jc w:val="center"/>
        <w:rPr>
          <w:b/>
          <w:sz w:val="26"/>
          <w:szCs w:val="26"/>
          <w:lang w:val="uk-UA" w:eastAsia="en-US"/>
        </w:rPr>
      </w:pPr>
    </w:p>
    <w:p w:rsidR="00D070DF" w:rsidRPr="00253DDD" w:rsidRDefault="00D070DF" w:rsidP="00D070DF">
      <w:pPr>
        <w:ind w:firstLine="708"/>
        <w:jc w:val="both"/>
        <w:rPr>
          <w:sz w:val="26"/>
          <w:szCs w:val="26"/>
          <w:lang w:val="uk-UA"/>
        </w:rPr>
      </w:pPr>
      <w:r w:rsidRPr="00253DDD">
        <w:rPr>
          <w:sz w:val="26"/>
          <w:szCs w:val="26"/>
          <w:lang w:val="uk-UA"/>
        </w:rPr>
        <w:t>До спеціального фонду (без тран</w:t>
      </w:r>
      <w:r w:rsidR="00BB328D" w:rsidRPr="00253DDD">
        <w:rPr>
          <w:sz w:val="26"/>
          <w:szCs w:val="26"/>
          <w:lang w:val="uk-UA"/>
        </w:rPr>
        <w:t>сфертів) в міський бюджет у 202</w:t>
      </w:r>
      <w:r w:rsidR="00BB328D" w:rsidRPr="00253DDD">
        <w:rPr>
          <w:sz w:val="26"/>
          <w:szCs w:val="26"/>
        </w:rPr>
        <w:t>5</w:t>
      </w:r>
      <w:r w:rsidRPr="00253DDD">
        <w:rPr>
          <w:sz w:val="26"/>
          <w:szCs w:val="26"/>
          <w:lang w:val="uk-UA"/>
        </w:rPr>
        <w:t xml:space="preserve"> році згідно з уточненим планом </w:t>
      </w:r>
      <w:r w:rsidR="00BB328D" w:rsidRPr="00253DDD">
        <w:rPr>
          <w:sz w:val="26"/>
          <w:szCs w:val="26"/>
          <w:lang w:val="uk-UA"/>
        </w:rPr>
        <w:t xml:space="preserve">прогнозувалось отримати </w:t>
      </w:r>
      <w:r w:rsidR="00BB328D" w:rsidRPr="00253DDD">
        <w:rPr>
          <w:sz w:val="26"/>
          <w:szCs w:val="26"/>
        </w:rPr>
        <w:t>22</w:t>
      </w:r>
      <w:r w:rsidR="00BB328D" w:rsidRPr="00253DDD">
        <w:rPr>
          <w:sz w:val="26"/>
          <w:szCs w:val="26"/>
          <w:lang w:val="en-US"/>
        </w:rPr>
        <w:t> </w:t>
      </w:r>
      <w:r w:rsidR="00BB328D" w:rsidRPr="00253DDD">
        <w:rPr>
          <w:sz w:val="26"/>
          <w:szCs w:val="26"/>
        </w:rPr>
        <w:t>572</w:t>
      </w:r>
      <w:r w:rsidR="00BB328D" w:rsidRPr="00253DDD">
        <w:rPr>
          <w:sz w:val="26"/>
          <w:szCs w:val="26"/>
          <w:lang w:val="uk-UA"/>
        </w:rPr>
        <w:t>,7</w:t>
      </w:r>
      <w:r w:rsidRPr="00253DDD">
        <w:rPr>
          <w:sz w:val="26"/>
          <w:szCs w:val="26"/>
          <w:lang w:val="uk-UA"/>
        </w:rPr>
        <w:t xml:space="preserve"> тис.</w:t>
      </w:r>
      <w:r w:rsidR="00BB328D" w:rsidRPr="00253DDD">
        <w:rPr>
          <w:sz w:val="26"/>
          <w:szCs w:val="26"/>
        </w:rPr>
        <w:t xml:space="preserve"> </w:t>
      </w:r>
      <w:r w:rsidRPr="00253DDD">
        <w:rPr>
          <w:sz w:val="26"/>
          <w:szCs w:val="26"/>
          <w:lang w:val="uk-UA"/>
        </w:rPr>
        <w:t>грн. дох</w:t>
      </w:r>
      <w:r w:rsidR="00BB328D" w:rsidRPr="00253DDD">
        <w:rPr>
          <w:sz w:val="26"/>
          <w:szCs w:val="26"/>
          <w:lang w:val="uk-UA"/>
        </w:rPr>
        <w:t>одів, фактично надійшло 23 866,2</w:t>
      </w:r>
      <w:r w:rsidRPr="00253DDD">
        <w:rPr>
          <w:sz w:val="26"/>
          <w:szCs w:val="26"/>
          <w:lang w:val="uk-UA"/>
        </w:rPr>
        <w:t xml:space="preserve"> тис.</w:t>
      </w:r>
      <w:r w:rsidR="00BB328D" w:rsidRPr="00253DDD">
        <w:rPr>
          <w:sz w:val="26"/>
          <w:szCs w:val="26"/>
          <w:lang w:val="uk-UA"/>
        </w:rPr>
        <w:t xml:space="preserve"> грн. або 105,7</w:t>
      </w:r>
      <w:r w:rsidRPr="00253DDD">
        <w:rPr>
          <w:sz w:val="26"/>
          <w:szCs w:val="26"/>
          <w:lang w:val="uk-UA"/>
        </w:rPr>
        <w:t>%.  До бю</w:t>
      </w:r>
      <w:r w:rsidR="00FF16A9" w:rsidRPr="00253DDD">
        <w:rPr>
          <w:sz w:val="26"/>
          <w:szCs w:val="26"/>
          <w:lang w:val="uk-UA"/>
        </w:rPr>
        <w:t>джету розвитку надійшло 15 175,4</w:t>
      </w:r>
      <w:r w:rsidRPr="00253DDD">
        <w:rPr>
          <w:sz w:val="26"/>
          <w:szCs w:val="26"/>
          <w:lang w:val="uk-UA"/>
        </w:rPr>
        <w:t xml:space="preserve"> тис.</w:t>
      </w:r>
      <w:r w:rsidR="00FF16A9" w:rsidRPr="00253DDD">
        <w:rPr>
          <w:sz w:val="26"/>
          <w:szCs w:val="26"/>
          <w:lang w:val="uk-UA"/>
        </w:rPr>
        <w:t xml:space="preserve"> грн. (102,4</w:t>
      </w:r>
      <w:r w:rsidRPr="00253DDD">
        <w:rPr>
          <w:sz w:val="26"/>
          <w:szCs w:val="26"/>
          <w:lang w:val="uk-UA"/>
        </w:rPr>
        <w:t>%) доходів, в тому числі: кошти від продажу земельних ділянок несільськогосподарського призначення, що перебувають у державній або</w:t>
      </w:r>
      <w:r w:rsidR="00FF16A9" w:rsidRPr="00253DDD">
        <w:rPr>
          <w:sz w:val="26"/>
          <w:szCs w:val="26"/>
          <w:lang w:val="uk-UA"/>
        </w:rPr>
        <w:t xml:space="preserve"> комунальній власності – 15 175,4</w:t>
      </w:r>
      <w:r w:rsidRPr="00253DDD">
        <w:rPr>
          <w:sz w:val="26"/>
          <w:szCs w:val="26"/>
          <w:lang w:val="uk-UA"/>
        </w:rPr>
        <w:t xml:space="preserve"> тис.</w:t>
      </w:r>
      <w:r w:rsidR="00FF16A9" w:rsidRPr="00253DDD">
        <w:rPr>
          <w:sz w:val="26"/>
          <w:szCs w:val="26"/>
          <w:lang w:val="uk-UA"/>
        </w:rPr>
        <w:t xml:space="preserve"> грн</w:t>
      </w:r>
      <w:r w:rsidRPr="00253DDD">
        <w:rPr>
          <w:sz w:val="26"/>
          <w:szCs w:val="26"/>
          <w:lang w:val="uk-UA"/>
        </w:rPr>
        <w:t>.</w:t>
      </w:r>
      <w:r w:rsidR="00FF16A9" w:rsidRPr="00253DDD">
        <w:rPr>
          <w:sz w:val="26"/>
          <w:szCs w:val="26"/>
          <w:lang w:val="uk-UA"/>
        </w:rPr>
        <w:t xml:space="preserve">  У порівнянні з  2024 роком</w:t>
      </w:r>
      <w:r w:rsidRPr="00253DDD">
        <w:rPr>
          <w:sz w:val="26"/>
          <w:szCs w:val="26"/>
          <w:lang w:val="uk-UA"/>
        </w:rPr>
        <w:t xml:space="preserve"> надходження бюджету </w:t>
      </w:r>
      <w:r w:rsidR="00FF16A9" w:rsidRPr="00253DDD">
        <w:rPr>
          <w:sz w:val="26"/>
          <w:szCs w:val="26"/>
          <w:lang w:val="uk-UA"/>
        </w:rPr>
        <w:t xml:space="preserve">розвитку збільшилися на </w:t>
      </w:r>
      <w:r w:rsidR="00885152" w:rsidRPr="00253DDD">
        <w:rPr>
          <w:sz w:val="26"/>
          <w:szCs w:val="26"/>
          <w:lang w:val="uk-UA"/>
        </w:rPr>
        <w:t>4 193,4</w:t>
      </w:r>
      <w:r w:rsidRPr="00253DDD">
        <w:rPr>
          <w:sz w:val="26"/>
          <w:szCs w:val="26"/>
          <w:lang w:val="uk-UA"/>
        </w:rPr>
        <w:t xml:space="preserve"> тис.</w:t>
      </w:r>
      <w:r w:rsidR="00FF16A9" w:rsidRPr="00253DDD">
        <w:rPr>
          <w:sz w:val="26"/>
          <w:szCs w:val="26"/>
          <w:lang w:val="uk-UA"/>
        </w:rPr>
        <w:t xml:space="preserve"> гривень. </w:t>
      </w:r>
    </w:p>
    <w:p w:rsidR="00D070DF" w:rsidRPr="00253DDD" w:rsidRDefault="00D070DF" w:rsidP="00472669">
      <w:pPr>
        <w:ind w:firstLine="708"/>
        <w:jc w:val="both"/>
        <w:rPr>
          <w:sz w:val="26"/>
          <w:szCs w:val="26"/>
          <w:lang w:val="uk-UA"/>
        </w:rPr>
      </w:pPr>
      <w:r w:rsidRPr="00253DDD">
        <w:rPr>
          <w:sz w:val="26"/>
          <w:szCs w:val="26"/>
          <w:lang w:val="uk-UA"/>
        </w:rPr>
        <w:t>Власних надходжень бю</w:t>
      </w:r>
      <w:r w:rsidR="00472669" w:rsidRPr="00253DDD">
        <w:rPr>
          <w:sz w:val="26"/>
          <w:szCs w:val="26"/>
          <w:lang w:val="uk-UA"/>
        </w:rPr>
        <w:t>джетних установ надійшло 8 181,9</w:t>
      </w:r>
      <w:r w:rsidRPr="00253DDD">
        <w:rPr>
          <w:sz w:val="26"/>
          <w:szCs w:val="26"/>
          <w:lang w:val="uk-UA"/>
        </w:rPr>
        <w:t xml:space="preserve"> тис.</w:t>
      </w:r>
      <w:r w:rsidR="00314116" w:rsidRPr="00253DDD">
        <w:rPr>
          <w:sz w:val="26"/>
          <w:szCs w:val="26"/>
          <w:lang w:val="uk-UA"/>
        </w:rPr>
        <w:t xml:space="preserve"> </w:t>
      </w:r>
      <w:r w:rsidRPr="00253DDD">
        <w:rPr>
          <w:sz w:val="26"/>
          <w:szCs w:val="26"/>
          <w:lang w:val="uk-UA"/>
        </w:rPr>
        <w:t>г</w:t>
      </w:r>
      <w:r w:rsidR="00314116" w:rsidRPr="00253DDD">
        <w:rPr>
          <w:sz w:val="26"/>
          <w:szCs w:val="26"/>
          <w:lang w:val="uk-UA"/>
        </w:rPr>
        <w:t>рн. при уточненому плані 7 629,5</w:t>
      </w:r>
      <w:r w:rsidRPr="00253DDD">
        <w:rPr>
          <w:sz w:val="26"/>
          <w:szCs w:val="26"/>
          <w:lang w:val="uk-UA"/>
        </w:rPr>
        <w:t xml:space="preserve"> тис.</w:t>
      </w:r>
      <w:r w:rsidR="00314116" w:rsidRPr="00253DDD">
        <w:rPr>
          <w:sz w:val="26"/>
          <w:szCs w:val="26"/>
          <w:lang w:val="uk-UA"/>
        </w:rPr>
        <w:t xml:space="preserve"> </w:t>
      </w:r>
      <w:r w:rsidRPr="00253DDD">
        <w:rPr>
          <w:sz w:val="26"/>
          <w:szCs w:val="26"/>
          <w:lang w:val="uk-UA"/>
        </w:rPr>
        <w:t>грн</w:t>
      </w:r>
      <w:r w:rsidR="00314116" w:rsidRPr="00253DDD">
        <w:rPr>
          <w:sz w:val="26"/>
          <w:szCs w:val="26"/>
          <w:lang w:val="uk-UA"/>
        </w:rPr>
        <w:t>. або 107,2</w:t>
      </w:r>
      <w:r w:rsidRPr="00253DDD">
        <w:rPr>
          <w:sz w:val="26"/>
          <w:szCs w:val="26"/>
          <w:lang w:val="uk-UA"/>
        </w:rPr>
        <w:t xml:space="preserve"> %.</w:t>
      </w:r>
    </w:p>
    <w:p w:rsidR="00D070DF" w:rsidRPr="00253DDD" w:rsidRDefault="00D070DF" w:rsidP="00D070DF">
      <w:pPr>
        <w:tabs>
          <w:tab w:val="left" w:pos="3975"/>
        </w:tabs>
        <w:jc w:val="both"/>
        <w:rPr>
          <w:sz w:val="26"/>
          <w:szCs w:val="26"/>
          <w:lang w:val="uk-UA"/>
        </w:rPr>
      </w:pPr>
      <w:r w:rsidRPr="00253DDD">
        <w:rPr>
          <w:sz w:val="26"/>
          <w:szCs w:val="26"/>
          <w:lang w:val="uk-UA"/>
        </w:rPr>
        <w:t xml:space="preserve">            Аналізуючи галузевий розподіл економіки Миколаївської громади, обсяг надхо</w:t>
      </w:r>
      <w:r w:rsidR="00E37198" w:rsidRPr="00253DDD">
        <w:rPr>
          <w:sz w:val="26"/>
          <w:szCs w:val="26"/>
          <w:lang w:val="uk-UA"/>
        </w:rPr>
        <w:t>джень до міського бюджету у 2025</w:t>
      </w:r>
      <w:r w:rsidRPr="00253DDD">
        <w:rPr>
          <w:sz w:val="26"/>
          <w:szCs w:val="26"/>
          <w:lang w:val="uk-UA"/>
        </w:rPr>
        <w:t xml:space="preserve"> році бюджетних установ та організацій склав </w:t>
      </w:r>
      <w:r w:rsidR="008871D5" w:rsidRPr="00253DDD">
        <w:rPr>
          <w:sz w:val="26"/>
          <w:szCs w:val="26"/>
          <w:lang w:val="uk-UA"/>
        </w:rPr>
        <w:t>15,0</w:t>
      </w:r>
      <w:r w:rsidRPr="00253DDD">
        <w:rPr>
          <w:sz w:val="26"/>
          <w:szCs w:val="26"/>
          <w:lang w:val="uk-UA"/>
        </w:rPr>
        <w:t xml:space="preserve"> %, підприємств та організацій недержавної форми власності – </w:t>
      </w:r>
      <w:r w:rsidR="0031457C" w:rsidRPr="00253DDD">
        <w:rPr>
          <w:sz w:val="26"/>
          <w:szCs w:val="26"/>
          <w:lang w:val="uk-UA"/>
        </w:rPr>
        <w:t>56,6</w:t>
      </w:r>
      <w:r w:rsidRPr="00253DDD">
        <w:rPr>
          <w:sz w:val="26"/>
          <w:szCs w:val="26"/>
          <w:lang w:val="uk-UA"/>
        </w:rPr>
        <w:t xml:space="preserve"> % всіх надходжень загального фонду.</w:t>
      </w:r>
    </w:p>
    <w:p w:rsidR="00D070DF" w:rsidRPr="00253DDD" w:rsidRDefault="00D070DF" w:rsidP="00D070DF">
      <w:pPr>
        <w:ind w:firstLine="708"/>
        <w:jc w:val="both"/>
        <w:rPr>
          <w:sz w:val="26"/>
          <w:szCs w:val="26"/>
          <w:lang w:val="uk-UA" w:eastAsia="ar-SA"/>
        </w:rPr>
      </w:pPr>
      <w:r w:rsidRPr="00253DDD">
        <w:rPr>
          <w:sz w:val="26"/>
          <w:szCs w:val="26"/>
          <w:lang w:val="uk-UA" w:eastAsia="ar-SA"/>
        </w:rPr>
        <w:lastRenderedPageBreak/>
        <w:t>Зокрема, податку на доходи</w:t>
      </w:r>
      <w:r w:rsidR="0007004D" w:rsidRPr="00253DDD">
        <w:rPr>
          <w:sz w:val="26"/>
          <w:szCs w:val="26"/>
          <w:lang w:val="uk-UA" w:eastAsia="ar-SA"/>
        </w:rPr>
        <w:t xml:space="preserve"> з фізичних осіб надійшло у 2025</w:t>
      </w:r>
      <w:r w:rsidRPr="00253DDD">
        <w:rPr>
          <w:sz w:val="26"/>
          <w:szCs w:val="26"/>
          <w:lang w:val="uk-UA" w:eastAsia="ar-SA"/>
        </w:rPr>
        <w:t xml:space="preserve"> році до загального фонду міського бюджету від бюджетних установ і організацій в сумі </w:t>
      </w:r>
      <w:r w:rsidR="0007004D" w:rsidRPr="00253DDD">
        <w:rPr>
          <w:sz w:val="26"/>
          <w:szCs w:val="26"/>
          <w:lang w:val="uk-UA" w:eastAsia="ar-SA"/>
        </w:rPr>
        <w:t>46 193,0</w:t>
      </w:r>
      <w:r w:rsidRPr="00253DDD">
        <w:rPr>
          <w:sz w:val="26"/>
          <w:szCs w:val="26"/>
          <w:lang w:val="uk-UA" w:eastAsia="ar-SA"/>
        </w:rPr>
        <w:t xml:space="preserve"> тис.</w:t>
      </w:r>
      <w:r w:rsidR="0007004D" w:rsidRPr="00253DDD">
        <w:rPr>
          <w:sz w:val="26"/>
          <w:szCs w:val="26"/>
          <w:lang w:val="uk-UA" w:eastAsia="ar-SA"/>
        </w:rPr>
        <w:t xml:space="preserve"> </w:t>
      </w:r>
      <w:r w:rsidRPr="00253DDD">
        <w:rPr>
          <w:sz w:val="26"/>
          <w:szCs w:val="26"/>
          <w:lang w:val="uk-UA" w:eastAsia="ar-SA"/>
        </w:rPr>
        <w:t>грн., від</w:t>
      </w:r>
      <w:r w:rsidRPr="00253DDD">
        <w:rPr>
          <w:sz w:val="26"/>
          <w:szCs w:val="26"/>
          <w:lang w:val="uk-UA"/>
        </w:rPr>
        <w:t xml:space="preserve"> підприємств та організацій недержавної форми власності – </w:t>
      </w:r>
      <w:r w:rsidR="0007004D" w:rsidRPr="00253DDD">
        <w:rPr>
          <w:sz w:val="26"/>
          <w:szCs w:val="26"/>
          <w:lang w:val="uk-UA"/>
        </w:rPr>
        <w:t>120</w:t>
      </w:r>
      <w:r w:rsidR="0007004D" w:rsidRPr="00253DDD">
        <w:rPr>
          <w:sz w:val="26"/>
          <w:szCs w:val="26"/>
          <w:lang w:val="en-US"/>
        </w:rPr>
        <w:t> </w:t>
      </w:r>
      <w:r w:rsidR="0007004D" w:rsidRPr="00253DDD">
        <w:rPr>
          <w:sz w:val="26"/>
          <w:szCs w:val="26"/>
          <w:lang w:val="uk-UA"/>
        </w:rPr>
        <w:t>713,6</w:t>
      </w:r>
      <w:r w:rsidRPr="00253DDD">
        <w:rPr>
          <w:sz w:val="26"/>
          <w:szCs w:val="26"/>
          <w:lang w:val="uk-UA"/>
        </w:rPr>
        <w:t xml:space="preserve"> тис.</w:t>
      </w:r>
      <w:r w:rsidR="0007004D" w:rsidRPr="00253DDD">
        <w:rPr>
          <w:sz w:val="26"/>
          <w:szCs w:val="26"/>
          <w:lang w:val="uk-UA"/>
        </w:rPr>
        <w:t xml:space="preserve"> </w:t>
      </w:r>
      <w:r w:rsidRPr="00253DDD">
        <w:rPr>
          <w:sz w:val="26"/>
          <w:szCs w:val="26"/>
          <w:lang w:val="uk-UA"/>
        </w:rPr>
        <w:t>грн.</w:t>
      </w:r>
      <w:r w:rsidRPr="00253DDD">
        <w:rPr>
          <w:sz w:val="26"/>
          <w:szCs w:val="26"/>
          <w:lang w:val="uk-UA" w:eastAsia="ar-SA"/>
        </w:rPr>
        <w:t xml:space="preserve"> </w:t>
      </w:r>
      <w:r w:rsidR="00055A1F" w:rsidRPr="00253DDD">
        <w:rPr>
          <w:sz w:val="26"/>
          <w:szCs w:val="26"/>
          <w:lang w:val="uk-UA" w:eastAsia="ar-SA"/>
        </w:rPr>
        <w:tab/>
      </w:r>
      <w:r w:rsidRPr="00253DDD">
        <w:rPr>
          <w:sz w:val="26"/>
          <w:szCs w:val="26"/>
          <w:lang w:val="uk-UA" w:eastAsia="ar-SA"/>
        </w:rPr>
        <w:t>Найбільшими платниками ПДФО серед бюджетних установ були: відділ освіти, молоді та спорту Мико</w:t>
      </w:r>
      <w:r w:rsidR="0056697F" w:rsidRPr="00253DDD">
        <w:rPr>
          <w:sz w:val="26"/>
          <w:szCs w:val="26"/>
          <w:lang w:val="uk-UA" w:eastAsia="ar-SA"/>
        </w:rPr>
        <w:t>лаївської міської ради (17 118,3</w:t>
      </w:r>
      <w:r w:rsidRPr="00253DDD">
        <w:rPr>
          <w:sz w:val="26"/>
          <w:szCs w:val="26"/>
          <w:lang w:val="uk-UA" w:eastAsia="ar-SA"/>
        </w:rPr>
        <w:t xml:space="preserve"> тис.</w:t>
      </w:r>
      <w:r w:rsidR="0056697F" w:rsidRPr="00253DDD">
        <w:rPr>
          <w:sz w:val="26"/>
          <w:szCs w:val="26"/>
          <w:lang w:val="uk-UA" w:eastAsia="ar-SA"/>
        </w:rPr>
        <w:t xml:space="preserve"> </w:t>
      </w:r>
      <w:r w:rsidRPr="00253DDD">
        <w:rPr>
          <w:sz w:val="26"/>
          <w:szCs w:val="26"/>
          <w:lang w:val="uk-UA" w:eastAsia="ar-SA"/>
        </w:rPr>
        <w:t>грн.), КНП «Миколаївська міська лікарня» Мик</w:t>
      </w:r>
      <w:r w:rsidR="0056697F" w:rsidRPr="00253DDD">
        <w:rPr>
          <w:sz w:val="26"/>
          <w:szCs w:val="26"/>
          <w:lang w:val="uk-UA" w:eastAsia="ar-SA"/>
        </w:rPr>
        <w:t>олаївської міської ради (6 636,2</w:t>
      </w:r>
      <w:r w:rsidRPr="00253DDD">
        <w:rPr>
          <w:sz w:val="26"/>
          <w:szCs w:val="26"/>
          <w:lang w:val="uk-UA" w:eastAsia="ar-SA"/>
        </w:rPr>
        <w:t xml:space="preserve"> тис.</w:t>
      </w:r>
      <w:r w:rsidR="0056697F" w:rsidRPr="00253DDD">
        <w:rPr>
          <w:sz w:val="26"/>
          <w:szCs w:val="26"/>
          <w:lang w:val="uk-UA" w:eastAsia="ar-SA"/>
        </w:rPr>
        <w:t xml:space="preserve"> </w:t>
      </w:r>
      <w:r w:rsidRPr="00253DDD">
        <w:rPr>
          <w:sz w:val="26"/>
          <w:szCs w:val="26"/>
          <w:lang w:val="uk-UA" w:eastAsia="ar-SA"/>
        </w:rPr>
        <w:t>грн.), М</w:t>
      </w:r>
      <w:r w:rsidR="00957A2D" w:rsidRPr="00253DDD">
        <w:rPr>
          <w:sz w:val="26"/>
          <w:szCs w:val="26"/>
          <w:lang w:val="uk-UA" w:eastAsia="ar-SA"/>
        </w:rPr>
        <w:t>иколаївська міська рада (3 573,2</w:t>
      </w:r>
      <w:r w:rsidRPr="00253DDD">
        <w:rPr>
          <w:sz w:val="26"/>
          <w:szCs w:val="26"/>
          <w:lang w:val="uk-UA" w:eastAsia="ar-SA"/>
        </w:rPr>
        <w:t xml:space="preserve"> тис.</w:t>
      </w:r>
      <w:r w:rsidR="00957A2D" w:rsidRPr="00253DDD">
        <w:rPr>
          <w:sz w:val="26"/>
          <w:szCs w:val="26"/>
          <w:lang w:val="uk-UA" w:eastAsia="ar-SA"/>
        </w:rPr>
        <w:t xml:space="preserve"> </w:t>
      </w:r>
      <w:r w:rsidRPr="00253DDD">
        <w:rPr>
          <w:sz w:val="26"/>
          <w:szCs w:val="26"/>
          <w:lang w:val="uk-UA" w:eastAsia="ar-SA"/>
        </w:rPr>
        <w:t>грн.), КНП «Миколаївський міський центр первинної медико-санітарної допомоги» Мик</w:t>
      </w:r>
      <w:r w:rsidR="00957A2D" w:rsidRPr="00253DDD">
        <w:rPr>
          <w:sz w:val="26"/>
          <w:szCs w:val="26"/>
          <w:lang w:val="uk-UA" w:eastAsia="ar-SA"/>
        </w:rPr>
        <w:t>олаївської міської ради (2 776,5</w:t>
      </w:r>
      <w:r w:rsidRPr="00253DDD">
        <w:rPr>
          <w:sz w:val="26"/>
          <w:szCs w:val="26"/>
          <w:lang w:val="uk-UA" w:eastAsia="ar-SA"/>
        </w:rPr>
        <w:t xml:space="preserve"> тис.</w:t>
      </w:r>
      <w:r w:rsidR="00957A2D" w:rsidRPr="00253DDD">
        <w:rPr>
          <w:sz w:val="26"/>
          <w:szCs w:val="26"/>
          <w:lang w:val="uk-UA" w:eastAsia="ar-SA"/>
        </w:rPr>
        <w:t xml:space="preserve"> </w:t>
      </w:r>
      <w:r w:rsidRPr="00253DDD">
        <w:rPr>
          <w:sz w:val="26"/>
          <w:szCs w:val="26"/>
          <w:lang w:val="uk-UA" w:eastAsia="ar-SA"/>
        </w:rPr>
        <w:t>грн.). Серед підприємств недержавної форми власності</w:t>
      </w:r>
      <w:r w:rsidR="00F67A1F" w:rsidRPr="00253DDD">
        <w:rPr>
          <w:sz w:val="26"/>
          <w:szCs w:val="26"/>
          <w:lang w:val="uk-UA" w:eastAsia="ar-SA"/>
        </w:rPr>
        <w:t xml:space="preserve"> – ТзОВ «</w:t>
      </w:r>
      <w:proofErr w:type="spellStart"/>
      <w:r w:rsidR="00F67A1F" w:rsidRPr="00253DDD">
        <w:rPr>
          <w:sz w:val="26"/>
          <w:szCs w:val="26"/>
          <w:lang w:val="uk-UA" w:eastAsia="ar-SA"/>
        </w:rPr>
        <w:t>Георозвідка</w:t>
      </w:r>
      <w:proofErr w:type="spellEnd"/>
      <w:r w:rsidR="00F67A1F" w:rsidRPr="00253DDD">
        <w:rPr>
          <w:sz w:val="26"/>
          <w:szCs w:val="26"/>
          <w:lang w:val="uk-UA" w:eastAsia="ar-SA"/>
        </w:rPr>
        <w:t>» (42 222,9</w:t>
      </w:r>
      <w:r w:rsidRPr="00253DDD">
        <w:rPr>
          <w:sz w:val="26"/>
          <w:szCs w:val="26"/>
          <w:lang w:val="uk-UA" w:eastAsia="ar-SA"/>
        </w:rPr>
        <w:t xml:space="preserve"> тис.</w:t>
      </w:r>
      <w:r w:rsidR="00F67A1F" w:rsidRPr="00253DDD">
        <w:rPr>
          <w:sz w:val="26"/>
          <w:szCs w:val="26"/>
          <w:lang w:val="uk-UA" w:eastAsia="ar-SA"/>
        </w:rPr>
        <w:t xml:space="preserve"> </w:t>
      </w:r>
      <w:r w:rsidRPr="00253DDD">
        <w:rPr>
          <w:sz w:val="26"/>
          <w:szCs w:val="26"/>
          <w:lang w:val="uk-UA" w:eastAsia="ar-SA"/>
        </w:rPr>
        <w:t>грн.)</w:t>
      </w:r>
      <w:r w:rsidR="00F67A1F" w:rsidRPr="00253DDD">
        <w:rPr>
          <w:sz w:val="26"/>
          <w:szCs w:val="26"/>
          <w:lang w:val="uk-UA" w:eastAsia="ar-SA"/>
        </w:rPr>
        <w:t>, ПрАТ «</w:t>
      </w:r>
      <w:proofErr w:type="spellStart"/>
      <w:r w:rsidR="00F67A1F" w:rsidRPr="00253DDD">
        <w:rPr>
          <w:sz w:val="26"/>
          <w:szCs w:val="26"/>
          <w:lang w:val="uk-UA" w:eastAsia="ar-SA"/>
        </w:rPr>
        <w:t>Миколаївцемент</w:t>
      </w:r>
      <w:proofErr w:type="spellEnd"/>
      <w:r w:rsidR="00F67A1F" w:rsidRPr="00253DDD">
        <w:rPr>
          <w:sz w:val="26"/>
          <w:szCs w:val="26"/>
          <w:lang w:val="uk-UA" w:eastAsia="ar-SA"/>
        </w:rPr>
        <w:t>» (10 299,6</w:t>
      </w:r>
      <w:r w:rsidRPr="00253DDD">
        <w:rPr>
          <w:sz w:val="26"/>
          <w:szCs w:val="26"/>
          <w:lang w:val="uk-UA" w:eastAsia="ar-SA"/>
        </w:rPr>
        <w:t xml:space="preserve"> тис.</w:t>
      </w:r>
      <w:r w:rsidR="00F67A1F" w:rsidRPr="00253DDD">
        <w:rPr>
          <w:sz w:val="26"/>
          <w:szCs w:val="26"/>
          <w:lang w:val="uk-UA" w:eastAsia="ar-SA"/>
        </w:rPr>
        <w:t xml:space="preserve"> </w:t>
      </w:r>
      <w:r w:rsidRPr="00253DDD">
        <w:rPr>
          <w:sz w:val="26"/>
          <w:szCs w:val="26"/>
          <w:lang w:val="uk-UA" w:eastAsia="ar-SA"/>
        </w:rPr>
        <w:t>грн.),</w:t>
      </w:r>
      <w:r w:rsidR="00F67A1F" w:rsidRPr="00253DDD">
        <w:rPr>
          <w:sz w:val="26"/>
          <w:szCs w:val="26"/>
          <w:lang w:val="uk-UA" w:eastAsia="ar-SA"/>
        </w:rPr>
        <w:t xml:space="preserve"> ТзОВ «</w:t>
      </w:r>
      <w:proofErr w:type="spellStart"/>
      <w:r w:rsidR="00F67A1F" w:rsidRPr="00253DDD">
        <w:rPr>
          <w:sz w:val="26"/>
          <w:szCs w:val="26"/>
          <w:lang w:val="uk-UA" w:eastAsia="ar-SA"/>
        </w:rPr>
        <w:t>Меркор</w:t>
      </w:r>
      <w:proofErr w:type="spellEnd"/>
      <w:r w:rsidR="00F67A1F" w:rsidRPr="00253DDD">
        <w:rPr>
          <w:sz w:val="26"/>
          <w:szCs w:val="26"/>
          <w:lang w:val="uk-UA" w:eastAsia="ar-SA"/>
        </w:rPr>
        <w:t xml:space="preserve"> Україна» (4 001,5 тис. грн.)</w:t>
      </w:r>
      <w:r w:rsidRPr="00253DDD">
        <w:rPr>
          <w:sz w:val="26"/>
          <w:szCs w:val="26"/>
          <w:lang w:val="uk-UA" w:eastAsia="ar-SA"/>
        </w:rPr>
        <w:t xml:space="preserve"> Львівська філія ТзОВ «Газорозп</w:t>
      </w:r>
      <w:r w:rsidR="00F67A1F" w:rsidRPr="00253DDD">
        <w:rPr>
          <w:sz w:val="26"/>
          <w:szCs w:val="26"/>
          <w:lang w:val="uk-UA" w:eastAsia="ar-SA"/>
        </w:rPr>
        <w:t>одільні мережі України» (3 832,2</w:t>
      </w:r>
      <w:r w:rsidRPr="00253DDD">
        <w:rPr>
          <w:sz w:val="26"/>
          <w:szCs w:val="26"/>
          <w:lang w:val="uk-UA" w:eastAsia="ar-SA"/>
        </w:rPr>
        <w:t xml:space="preserve"> тис.</w:t>
      </w:r>
      <w:r w:rsidR="00F67A1F" w:rsidRPr="00253DDD">
        <w:rPr>
          <w:sz w:val="26"/>
          <w:szCs w:val="26"/>
          <w:lang w:val="uk-UA" w:eastAsia="ar-SA"/>
        </w:rPr>
        <w:t xml:space="preserve"> </w:t>
      </w:r>
      <w:r w:rsidRPr="00253DDD">
        <w:rPr>
          <w:sz w:val="26"/>
          <w:szCs w:val="26"/>
          <w:lang w:val="uk-UA" w:eastAsia="ar-SA"/>
        </w:rPr>
        <w:t>грн.), ТзОВ з іноземними інвестиціями «</w:t>
      </w:r>
      <w:proofErr w:type="spellStart"/>
      <w:r w:rsidRPr="00253DDD">
        <w:rPr>
          <w:sz w:val="26"/>
          <w:szCs w:val="26"/>
          <w:lang w:val="uk-UA" w:eastAsia="ar-SA"/>
        </w:rPr>
        <w:t>Хенке</w:t>
      </w:r>
      <w:r w:rsidR="00E9606E" w:rsidRPr="00253DDD">
        <w:rPr>
          <w:sz w:val="26"/>
          <w:szCs w:val="26"/>
          <w:lang w:val="uk-UA" w:eastAsia="ar-SA"/>
        </w:rPr>
        <w:t>ль</w:t>
      </w:r>
      <w:proofErr w:type="spellEnd"/>
      <w:r w:rsidR="00E9606E" w:rsidRPr="00253DDD">
        <w:rPr>
          <w:sz w:val="26"/>
          <w:szCs w:val="26"/>
          <w:lang w:val="uk-UA" w:eastAsia="ar-SA"/>
        </w:rPr>
        <w:t xml:space="preserve"> </w:t>
      </w:r>
      <w:proofErr w:type="spellStart"/>
      <w:r w:rsidR="00E9606E" w:rsidRPr="00253DDD">
        <w:rPr>
          <w:sz w:val="26"/>
          <w:szCs w:val="26"/>
          <w:lang w:val="uk-UA" w:eastAsia="ar-SA"/>
        </w:rPr>
        <w:t>Баутехнік</w:t>
      </w:r>
      <w:proofErr w:type="spellEnd"/>
      <w:r w:rsidR="00E9606E" w:rsidRPr="00253DDD">
        <w:rPr>
          <w:sz w:val="26"/>
          <w:szCs w:val="26"/>
          <w:lang w:val="uk-UA" w:eastAsia="ar-SA"/>
        </w:rPr>
        <w:t xml:space="preserve"> (Україна)» (3 503,8</w:t>
      </w:r>
      <w:r w:rsidRPr="00253DDD">
        <w:rPr>
          <w:sz w:val="26"/>
          <w:szCs w:val="26"/>
          <w:lang w:val="uk-UA" w:eastAsia="ar-SA"/>
        </w:rPr>
        <w:t xml:space="preserve"> тис.</w:t>
      </w:r>
      <w:r w:rsidR="00E9606E" w:rsidRPr="00253DDD">
        <w:rPr>
          <w:sz w:val="26"/>
          <w:szCs w:val="26"/>
          <w:lang w:val="uk-UA" w:eastAsia="ar-SA"/>
        </w:rPr>
        <w:t xml:space="preserve"> </w:t>
      </w:r>
      <w:r w:rsidRPr="00253DDD">
        <w:rPr>
          <w:sz w:val="26"/>
          <w:szCs w:val="26"/>
          <w:lang w:val="uk-UA" w:eastAsia="ar-SA"/>
        </w:rPr>
        <w:t>грн.),</w:t>
      </w:r>
      <w:r w:rsidR="00E9606E" w:rsidRPr="00253DDD">
        <w:rPr>
          <w:sz w:val="26"/>
          <w:szCs w:val="26"/>
          <w:lang w:val="uk-UA" w:eastAsia="ar-SA"/>
        </w:rPr>
        <w:t xml:space="preserve"> ДП «Юліус Кох Україна» німецької компанії «Юліус Кох </w:t>
      </w:r>
      <w:proofErr w:type="spellStart"/>
      <w:r w:rsidR="00E9606E" w:rsidRPr="00253DDD">
        <w:rPr>
          <w:sz w:val="26"/>
          <w:szCs w:val="26"/>
          <w:lang w:val="uk-UA" w:eastAsia="ar-SA"/>
        </w:rPr>
        <w:t>ГмбХ</w:t>
      </w:r>
      <w:proofErr w:type="spellEnd"/>
      <w:r w:rsidR="00E9606E" w:rsidRPr="00253DDD">
        <w:rPr>
          <w:sz w:val="26"/>
          <w:szCs w:val="26"/>
          <w:lang w:val="uk-UA" w:eastAsia="ar-SA"/>
        </w:rPr>
        <w:t>» (2 911,0 тис. грн.)</w:t>
      </w:r>
      <w:r w:rsidR="00F8614F" w:rsidRPr="00253DDD">
        <w:rPr>
          <w:sz w:val="26"/>
          <w:szCs w:val="26"/>
          <w:lang w:val="uk-UA" w:eastAsia="ar-SA"/>
        </w:rPr>
        <w:t>,</w:t>
      </w:r>
      <w:r w:rsidRPr="00253DDD">
        <w:rPr>
          <w:sz w:val="26"/>
          <w:szCs w:val="26"/>
          <w:lang w:val="uk-UA" w:eastAsia="ar-SA"/>
        </w:rPr>
        <w:t xml:space="preserve"> </w:t>
      </w:r>
      <w:r w:rsidR="007E002B" w:rsidRPr="00253DDD">
        <w:rPr>
          <w:sz w:val="26"/>
          <w:szCs w:val="26"/>
          <w:lang w:val="uk-UA" w:eastAsia="ar-SA"/>
        </w:rPr>
        <w:t>ПАФ «Дністер</w:t>
      </w:r>
      <w:r w:rsidR="003636A3" w:rsidRPr="00253DDD">
        <w:rPr>
          <w:sz w:val="26"/>
          <w:szCs w:val="26"/>
          <w:lang w:val="uk-UA" w:eastAsia="ar-SA"/>
        </w:rPr>
        <w:t>» (2 710,1</w:t>
      </w:r>
      <w:r w:rsidR="00E9606E" w:rsidRPr="00253DDD">
        <w:rPr>
          <w:sz w:val="26"/>
          <w:szCs w:val="26"/>
          <w:lang w:val="uk-UA" w:eastAsia="ar-SA"/>
        </w:rPr>
        <w:t xml:space="preserve"> тис.</w:t>
      </w:r>
      <w:r w:rsidR="003636A3" w:rsidRPr="00253DDD">
        <w:rPr>
          <w:sz w:val="26"/>
          <w:szCs w:val="26"/>
          <w:lang w:val="uk-UA" w:eastAsia="ar-SA"/>
        </w:rPr>
        <w:t xml:space="preserve"> </w:t>
      </w:r>
      <w:r w:rsidR="00E9606E" w:rsidRPr="00253DDD">
        <w:rPr>
          <w:sz w:val="26"/>
          <w:szCs w:val="26"/>
          <w:lang w:val="uk-UA" w:eastAsia="ar-SA"/>
        </w:rPr>
        <w:t>грн.)</w:t>
      </w:r>
      <w:r w:rsidRPr="00253DDD">
        <w:rPr>
          <w:sz w:val="26"/>
          <w:szCs w:val="26"/>
          <w:lang w:val="uk-UA" w:eastAsia="ar-SA"/>
        </w:rPr>
        <w:t>.</w:t>
      </w:r>
    </w:p>
    <w:p w:rsidR="00FB3D05" w:rsidRPr="00253DDD" w:rsidRDefault="00D070DF" w:rsidP="00FB3D05">
      <w:pPr>
        <w:ind w:firstLine="708"/>
        <w:jc w:val="both"/>
        <w:rPr>
          <w:sz w:val="26"/>
          <w:szCs w:val="26"/>
          <w:lang w:val="uk-UA" w:eastAsia="ar-SA"/>
        </w:rPr>
      </w:pPr>
      <w:r w:rsidRPr="00253DDD">
        <w:rPr>
          <w:sz w:val="26"/>
          <w:szCs w:val="26"/>
          <w:lang w:val="uk-UA"/>
        </w:rPr>
        <w:t xml:space="preserve"> Найбільшими платниками податк</w:t>
      </w:r>
      <w:r w:rsidR="00FB3D05" w:rsidRPr="00253DDD">
        <w:rPr>
          <w:sz w:val="26"/>
          <w:szCs w:val="26"/>
          <w:lang w:val="uk-UA"/>
        </w:rPr>
        <w:t>у на доходи фізичних осіб у 2024</w:t>
      </w:r>
      <w:r w:rsidRPr="00253DDD">
        <w:rPr>
          <w:sz w:val="26"/>
          <w:szCs w:val="26"/>
          <w:lang w:val="uk-UA"/>
        </w:rPr>
        <w:t xml:space="preserve"> році були: </w:t>
      </w:r>
      <w:r w:rsidR="00FB3D05" w:rsidRPr="00253DDD">
        <w:rPr>
          <w:sz w:val="26"/>
          <w:szCs w:val="26"/>
          <w:lang w:val="uk-UA" w:eastAsia="ar-SA"/>
        </w:rPr>
        <w:t>відділ освіти, молоді та спорту Миколаївської міської ради (15 731,7 тис. грн.), КНП «Миколаївська міська лікарня» Миколаївської міської ради (6 574,9 тис. грн.), Миколаївська міська рада (3 120,7 тис. грн.), КНП «Миколаївський міський центр первинної медико-санітарної допомоги» Миколаївської міської ради (2 445,9 тис. грн.), ТзОВ «</w:t>
      </w:r>
      <w:proofErr w:type="spellStart"/>
      <w:r w:rsidR="00FB3D05" w:rsidRPr="00253DDD">
        <w:rPr>
          <w:sz w:val="26"/>
          <w:szCs w:val="26"/>
          <w:lang w:val="uk-UA" w:eastAsia="ar-SA"/>
        </w:rPr>
        <w:t>Георозвідка</w:t>
      </w:r>
      <w:proofErr w:type="spellEnd"/>
      <w:r w:rsidR="00FB3D05" w:rsidRPr="00253DDD">
        <w:rPr>
          <w:sz w:val="26"/>
          <w:szCs w:val="26"/>
          <w:lang w:val="uk-UA" w:eastAsia="ar-SA"/>
        </w:rPr>
        <w:t>» (29 957,0 тис. грн.), ПрАТ «</w:t>
      </w:r>
      <w:proofErr w:type="spellStart"/>
      <w:r w:rsidR="00FB3D05" w:rsidRPr="00253DDD">
        <w:rPr>
          <w:sz w:val="26"/>
          <w:szCs w:val="26"/>
          <w:lang w:val="uk-UA" w:eastAsia="ar-SA"/>
        </w:rPr>
        <w:t>Миколаївцемент</w:t>
      </w:r>
      <w:proofErr w:type="spellEnd"/>
      <w:r w:rsidR="00FB3D05" w:rsidRPr="00253DDD">
        <w:rPr>
          <w:sz w:val="26"/>
          <w:szCs w:val="26"/>
          <w:lang w:val="uk-UA" w:eastAsia="ar-SA"/>
        </w:rPr>
        <w:t>» (8 468,6 тис. грн.), Львівська філія ТзОВ «Газорозподільні мережі України» (3 097,0 тис. грн.), ТзОВ з іноземними інвестиціями «</w:t>
      </w:r>
      <w:proofErr w:type="spellStart"/>
      <w:r w:rsidR="00FB3D05" w:rsidRPr="00253DDD">
        <w:rPr>
          <w:sz w:val="26"/>
          <w:szCs w:val="26"/>
          <w:lang w:val="uk-UA" w:eastAsia="ar-SA"/>
        </w:rPr>
        <w:t>Хенкель</w:t>
      </w:r>
      <w:proofErr w:type="spellEnd"/>
      <w:r w:rsidR="00FB3D05" w:rsidRPr="00253DDD">
        <w:rPr>
          <w:sz w:val="26"/>
          <w:szCs w:val="26"/>
          <w:lang w:val="uk-UA" w:eastAsia="ar-SA"/>
        </w:rPr>
        <w:t xml:space="preserve"> </w:t>
      </w:r>
      <w:proofErr w:type="spellStart"/>
      <w:r w:rsidR="00FB3D05" w:rsidRPr="00253DDD">
        <w:rPr>
          <w:sz w:val="26"/>
          <w:szCs w:val="26"/>
          <w:lang w:val="uk-UA" w:eastAsia="ar-SA"/>
        </w:rPr>
        <w:t>Баутехнік</w:t>
      </w:r>
      <w:proofErr w:type="spellEnd"/>
      <w:r w:rsidR="00FB3D05" w:rsidRPr="00253DDD">
        <w:rPr>
          <w:sz w:val="26"/>
          <w:szCs w:val="26"/>
          <w:lang w:val="uk-UA" w:eastAsia="ar-SA"/>
        </w:rPr>
        <w:t xml:space="preserve"> (Україна)» (2 855,0 тис. грн.), АТ «Оператор газорозподільної системи» «</w:t>
      </w:r>
      <w:proofErr w:type="spellStart"/>
      <w:r w:rsidR="00FB3D05" w:rsidRPr="00253DDD">
        <w:rPr>
          <w:sz w:val="26"/>
          <w:szCs w:val="26"/>
          <w:lang w:val="uk-UA" w:eastAsia="ar-SA"/>
        </w:rPr>
        <w:t>Львівгаз</w:t>
      </w:r>
      <w:proofErr w:type="spellEnd"/>
      <w:r w:rsidR="00FB3D05" w:rsidRPr="00253DDD">
        <w:rPr>
          <w:sz w:val="26"/>
          <w:szCs w:val="26"/>
          <w:lang w:val="uk-UA" w:eastAsia="ar-SA"/>
        </w:rPr>
        <w:t>» (2 921,3 тис. грн.), ТзОВ «</w:t>
      </w:r>
      <w:proofErr w:type="spellStart"/>
      <w:r w:rsidR="00FB3D05" w:rsidRPr="00253DDD">
        <w:rPr>
          <w:sz w:val="26"/>
          <w:szCs w:val="26"/>
          <w:lang w:val="uk-UA" w:eastAsia="ar-SA"/>
        </w:rPr>
        <w:t>Меркор</w:t>
      </w:r>
      <w:proofErr w:type="spellEnd"/>
      <w:r w:rsidR="00FB3D05" w:rsidRPr="00253DDD">
        <w:rPr>
          <w:sz w:val="26"/>
          <w:szCs w:val="26"/>
          <w:lang w:val="uk-UA" w:eastAsia="ar-SA"/>
        </w:rPr>
        <w:t xml:space="preserve"> Україна» (2 481,6 тис. грн.), ДП «Юліус Кох Україна» німецької компанії «Юліус Кох </w:t>
      </w:r>
      <w:proofErr w:type="spellStart"/>
      <w:r w:rsidR="00FB3D05" w:rsidRPr="00253DDD">
        <w:rPr>
          <w:sz w:val="26"/>
          <w:szCs w:val="26"/>
          <w:lang w:val="uk-UA" w:eastAsia="ar-SA"/>
        </w:rPr>
        <w:t>ГмбХ</w:t>
      </w:r>
      <w:proofErr w:type="spellEnd"/>
      <w:r w:rsidR="00FB3D05" w:rsidRPr="00253DDD">
        <w:rPr>
          <w:sz w:val="26"/>
          <w:szCs w:val="26"/>
          <w:lang w:val="uk-UA" w:eastAsia="ar-SA"/>
        </w:rPr>
        <w:t>» (2 465,4 тис. грн.).</w:t>
      </w:r>
    </w:p>
    <w:p w:rsidR="00D070DF" w:rsidRPr="00253DDD" w:rsidRDefault="00D070DF" w:rsidP="00D070DF">
      <w:pPr>
        <w:ind w:firstLine="708"/>
        <w:jc w:val="both"/>
        <w:rPr>
          <w:sz w:val="26"/>
          <w:szCs w:val="26"/>
          <w:lang w:val="uk-UA" w:eastAsia="ar-SA"/>
        </w:rPr>
      </w:pPr>
      <w:r w:rsidRPr="00253DDD">
        <w:rPr>
          <w:sz w:val="26"/>
          <w:szCs w:val="26"/>
          <w:lang w:val="uk-UA" w:eastAsia="ar-SA"/>
        </w:rPr>
        <w:t>Серед підприємств недержавної форми власності найбільші суми надхо</w:t>
      </w:r>
      <w:r w:rsidR="00FB3D05" w:rsidRPr="00253DDD">
        <w:rPr>
          <w:sz w:val="26"/>
          <w:szCs w:val="26"/>
          <w:lang w:val="uk-UA" w:eastAsia="ar-SA"/>
        </w:rPr>
        <w:t>джень до міського бюджету у 2025</w:t>
      </w:r>
      <w:r w:rsidRPr="00253DDD">
        <w:rPr>
          <w:sz w:val="26"/>
          <w:szCs w:val="26"/>
          <w:lang w:val="uk-UA" w:eastAsia="ar-SA"/>
        </w:rPr>
        <w:t xml:space="preserve"> році забезпечили підприємства будівельної галузі, добувної промисловості, енергетики, пе</w:t>
      </w:r>
      <w:r w:rsidR="00253DDD">
        <w:rPr>
          <w:sz w:val="26"/>
          <w:szCs w:val="26"/>
          <w:lang w:val="uk-UA" w:eastAsia="ar-SA"/>
        </w:rPr>
        <w:t>реробної промисловості, транспорту та зв</w:t>
      </w:r>
      <w:r w:rsidR="00253DDD" w:rsidRPr="00253DDD">
        <w:rPr>
          <w:sz w:val="26"/>
          <w:szCs w:val="26"/>
          <w:lang w:val="uk-UA" w:eastAsia="ar-SA"/>
        </w:rPr>
        <w:t>’</w:t>
      </w:r>
      <w:r w:rsidR="00253DDD">
        <w:rPr>
          <w:sz w:val="26"/>
          <w:szCs w:val="26"/>
          <w:lang w:val="uk-UA" w:eastAsia="ar-SA"/>
        </w:rPr>
        <w:t>язку</w:t>
      </w:r>
      <w:r w:rsidRPr="00253DDD">
        <w:rPr>
          <w:sz w:val="26"/>
          <w:szCs w:val="26"/>
          <w:lang w:val="uk-UA" w:eastAsia="ar-SA"/>
        </w:rPr>
        <w:t>.</w:t>
      </w:r>
    </w:p>
    <w:p w:rsidR="00D070DF" w:rsidRPr="00253DDD" w:rsidRDefault="005C785D" w:rsidP="00D070DF">
      <w:pPr>
        <w:ind w:firstLine="708"/>
        <w:jc w:val="both"/>
        <w:rPr>
          <w:sz w:val="26"/>
          <w:szCs w:val="26"/>
          <w:lang w:val="uk-UA" w:eastAsia="ar-SA"/>
        </w:rPr>
      </w:pPr>
      <w:r w:rsidRPr="00253DDD">
        <w:rPr>
          <w:sz w:val="26"/>
          <w:szCs w:val="26"/>
          <w:lang w:val="uk-UA" w:eastAsia="ar-SA"/>
        </w:rPr>
        <w:t>Так, у 2025</w:t>
      </w:r>
      <w:r w:rsidR="00D070DF" w:rsidRPr="00253DDD">
        <w:rPr>
          <w:sz w:val="26"/>
          <w:szCs w:val="26"/>
          <w:lang w:val="uk-UA" w:eastAsia="ar-SA"/>
        </w:rPr>
        <w:t xml:space="preserve"> році надходження податкових платежів до загального фонду міського бюджету по підприємствах:</w:t>
      </w:r>
    </w:p>
    <w:p w:rsidR="00D070DF" w:rsidRPr="00253DDD" w:rsidRDefault="00D070DF" w:rsidP="00D070DF">
      <w:pPr>
        <w:jc w:val="both"/>
        <w:rPr>
          <w:sz w:val="26"/>
          <w:szCs w:val="26"/>
          <w:lang w:val="uk-UA" w:eastAsia="ar-SA"/>
        </w:rPr>
      </w:pPr>
      <w:r w:rsidRPr="00253DDD">
        <w:rPr>
          <w:sz w:val="26"/>
          <w:szCs w:val="26"/>
          <w:u w:val="single"/>
          <w:lang w:val="uk-UA" w:eastAsia="ar-SA"/>
        </w:rPr>
        <w:t>- будівельної галузі</w:t>
      </w:r>
      <w:r w:rsidRPr="00253DDD">
        <w:rPr>
          <w:sz w:val="26"/>
          <w:szCs w:val="26"/>
          <w:lang w:val="uk-UA" w:eastAsia="ar-SA"/>
        </w:rPr>
        <w:t xml:space="preserve"> склав  </w:t>
      </w:r>
      <w:r w:rsidR="00824CB6" w:rsidRPr="00253DDD">
        <w:rPr>
          <w:sz w:val="26"/>
          <w:szCs w:val="26"/>
          <w:lang w:val="uk-UA" w:eastAsia="ar-SA"/>
        </w:rPr>
        <w:t>32 168,6</w:t>
      </w:r>
      <w:r w:rsidRPr="00253DDD">
        <w:rPr>
          <w:sz w:val="26"/>
          <w:szCs w:val="26"/>
          <w:lang w:val="uk-UA" w:eastAsia="ar-SA"/>
        </w:rPr>
        <w:t xml:space="preserve"> тис.</w:t>
      </w:r>
      <w:r w:rsidR="00824CB6" w:rsidRPr="00253DDD">
        <w:rPr>
          <w:sz w:val="26"/>
          <w:szCs w:val="26"/>
          <w:lang w:val="uk-UA" w:eastAsia="ar-SA"/>
        </w:rPr>
        <w:t xml:space="preserve"> </w:t>
      </w:r>
      <w:r w:rsidRPr="00253DDD">
        <w:rPr>
          <w:sz w:val="26"/>
          <w:szCs w:val="26"/>
          <w:lang w:val="uk-UA" w:eastAsia="ar-SA"/>
        </w:rPr>
        <w:t xml:space="preserve">грн., що на </w:t>
      </w:r>
      <w:r w:rsidR="007D4A03" w:rsidRPr="00253DDD">
        <w:rPr>
          <w:sz w:val="26"/>
          <w:szCs w:val="26"/>
          <w:lang w:val="uk-UA" w:eastAsia="ar-SA"/>
        </w:rPr>
        <w:t>9 659,6</w:t>
      </w:r>
      <w:r w:rsidRPr="00253DDD">
        <w:rPr>
          <w:sz w:val="26"/>
          <w:szCs w:val="26"/>
          <w:lang w:val="uk-UA" w:eastAsia="ar-SA"/>
        </w:rPr>
        <w:t xml:space="preserve"> тис.</w:t>
      </w:r>
      <w:r w:rsidR="007D4A03" w:rsidRPr="00253DDD">
        <w:rPr>
          <w:sz w:val="26"/>
          <w:szCs w:val="26"/>
          <w:lang w:val="uk-UA" w:eastAsia="ar-SA"/>
        </w:rPr>
        <w:t xml:space="preserve"> </w:t>
      </w:r>
      <w:r w:rsidRPr="00253DDD">
        <w:rPr>
          <w:sz w:val="26"/>
          <w:szCs w:val="26"/>
          <w:lang w:val="uk-UA" w:eastAsia="ar-SA"/>
        </w:rPr>
        <w:t xml:space="preserve">грн. більше у порівнянні з </w:t>
      </w:r>
      <w:r w:rsidR="007D4A03" w:rsidRPr="00253DDD">
        <w:rPr>
          <w:sz w:val="26"/>
          <w:szCs w:val="26"/>
          <w:lang w:val="uk-UA" w:eastAsia="ar-SA"/>
        </w:rPr>
        <w:t xml:space="preserve">2021 роком.  Галузь нараховує </w:t>
      </w:r>
      <w:r w:rsidR="00994A06" w:rsidRPr="00253DDD">
        <w:rPr>
          <w:sz w:val="26"/>
          <w:szCs w:val="26"/>
          <w:lang w:val="uk-UA" w:eastAsia="ar-SA"/>
        </w:rPr>
        <w:t xml:space="preserve"> </w:t>
      </w:r>
      <w:r w:rsidR="007D4A03" w:rsidRPr="00253DDD">
        <w:rPr>
          <w:sz w:val="26"/>
          <w:szCs w:val="26"/>
          <w:lang w:val="uk-UA" w:eastAsia="ar-SA"/>
        </w:rPr>
        <w:t>27</w:t>
      </w:r>
      <w:r w:rsidRPr="00253DDD">
        <w:rPr>
          <w:sz w:val="26"/>
          <w:szCs w:val="26"/>
          <w:lang w:val="uk-UA" w:eastAsia="ar-SA"/>
        </w:rPr>
        <w:t xml:space="preserve"> підприємств, питома вага цієї галузі в загальному зборі платежів до міського бюджету усіх підприємств недержавної форми власності складає </w:t>
      </w:r>
      <w:r w:rsidR="007D4A03" w:rsidRPr="00253DDD">
        <w:rPr>
          <w:sz w:val="26"/>
          <w:szCs w:val="26"/>
          <w:lang w:val="uk-UA" w:eastAsia="ar-SA"/>
        </w:rPr>
        <w:t>17,2</w:t>
      </w:r>
      <w:r w:rsidRPr="00253DDD">
        <w:rPr>
          <w:sz w:val="26"/>
          <w:szCs w:val="26"/>
          <w:lang w:val="uk-UA" w:eastAsia="ar-SA"/>
        </w:rPr>
        <w:t xml:space="preserve"> відсотків. Найбільші платники - ПАТ «</w:t>
      </w:r>
      <w:proofErr w:type="spellStart"/>
      <w:r w:rsidRPr="00253DDD">
        <w:rPr>
          <w:sz w:val="26"/>
          <w:szCs w:val="26"/>
          <w:lang w:val="uk-UA" w:eastAsia="ar-SA"/>
        </w:rPr>
        <w:t>Миколаївцемент</w:t>
      </w:r>
      <w:proofErr w:type="spellEnd"/>
      <w:r w:rsidRPr="00253DDD">
        <w:rPr>
          <w:sz w:val="26"/>
          <w:szCs w:val="26"/>
          <w:lang w:val="uk-UA" w:eastAsia="ar-SA"/>
        </w:rPr>
        <w:t>»,</w:t>
      </w:r>
      <w:r w:rsidR="003F6E0B" w:rsidRPr="00253DDD">
        <w:rPr>
          <w:sz w:val="26"/>
          <w:szCs w:val="26"/>
          <w:lang w:val="uk-UA" w:eastAsia="ar-SA"/>
        </w:rPr>
        <w:t xml:space="preserve"> </w:t>
      </w:r>
      <w:r w:rsidRPr="00253DDD">
        <w:rPr>
          <w:sz w:val="26"/>
          <w:szCs w:val="26"/>
          <w:lang w:val="uk-UA" w:eastAsia="ar-SA"/>
        </w:rPr>
        <w:t xml:space="preserve"> ТзОВ «</w:t>
      </w:r>
      <w:proofErr w:type="spellStart"/>
      <w:r w:rsidRPr="00253DDD">
        <w:rPr>
          <w:sz w:val="26"/>
          <w:szCs w:val="26"/>
          <w:lang w:val="uk-UA" w:eastAsia="ar-SA"/>
        </w:rPr>
        <w:t>Миколаївцемремонт</w:t>
      </w:r>
      <w:proofErr w:type="spellEnd"/>
      <w:r w:rsidRPr="00253DDD">
        <w:rPr>
          <w:sz w:val="26"/>
          <w:szCs w:val="26"/>
          <w:lang w:val="uk-UA" w:eastAsia="ar-SA"/>
        </w:rPr>
        <w:t>», ТзОВ «Цикада Плюс»;</w:t>
      </w:r>
    </w:p>
    <w:p w:rsidR="00D070DF" w:rsidRPr="00253DDD" w:rsidRDefault="00D070DF" w:rsidP="00D070DF">
      <w:pPr>
        <w:jc w:val="both"/>
        <w:rPr>
          <w:sz w:val="26"/>
          <w:szCs w:val="26"/>
          <w:lang w:val="uk-UA" w:eastAsia="ar-SA"/>
        </w:rPr>
      </w:pPr>
      <w:r w:rsidRPr="00253DDD">
        <w:rPr>
          <w:sz w:val="26"/>
          <w:szCs w:val="26"/>
          <w:u w:val="single"/>
          <w:lang w:val="uk-UA" w:eastAsia="ar-SA"/>
        </w:rPr>
        <w:t>- добувної промисловості</w:t>
      </w:r>
      <w:r w:rsidR="009E091D" w:rsidRPr="00253DDD">
        <w:rPr>
          <w:sz w:val="26"/>
          <w:szCs w:val="26"/>
          <w:lang w:val="uk-UA" w:eastAsia="ar-SA"/>
        </w:rPr>
        <w:t xml:space="preserve"> склав  65 878,0</w:t>
      </w:r>
      <w:r w:rsidRPr="00253DDD">
        <w:rPr>
          <w:sz w:val="26"/>
          <w:szCs w:val="26"/>
          <w:lang w:val="uk-UA" w:eastAsia="ar-SA"/>
        </w:rPr>
        <w:t xml:space="preserve"> тис.</w:t>
      </w:r>
      <w:r w:rsidR="009E091D" w:rsidRPr="00253DDD">
        <w:rPr>
          <w:sz w:val="26"/>
          <w:szCs w:val="26"/>
          <w:lang w:val="uk-UA" w:eastAsia="ar-SA"/>
        </w:rPr>
        <w:t xml:space="preserve"> грн. (це на 51 263,5</w:t>
      </w:r>
      <w:r w:rsidRPr="00253DDD">
        <w:rPr>
          <w:sz w:val="26"/>
          <w:szCs w:val="26"/>
          <w:lang w:val="uk-UA" w:eastAsia="ar-SA"/>
        </w:rPr>
        <w:t xml:space="preserve"> тис.</w:t>
      </w:r>
      <w:r w:rsidR="009E091D" w:rsidRPr="00253DDD">
        <w:rPr>
          <w:sz w:val="26"/>
          <w:szCs w:val="26"/>
          <w:lang w:val="uk-UA" w:eastAsia="ar-SA"/>
        </w:rPr>
        <w:t xml:space="preserve"> </w:t>
      </w:r>
      <w:r w:rsidRPr="00253DDD">
        <w:rPr>
          <w:sz w:val="26"/>
          <w:szCs w:val="26"/>
          <w:lang w:val="uk-UA" w:eastAsia="ar-SA"/>
        </w:rPr>
        <w:t>грн. більше ніж у</w:t>
      </w:r>
      <w:r w:rsidR="009E091D" w:rsidRPr="00253DDD">
        <w:rPr>
          <w:sz w:val="26"/>
          <w:szCs w:val="26"/>
          <w:lang w:val="uk-UA" w:eastAsia="ar-SA"/>
        </w:rPr>
        <w:t xml:space="preserve"> 2021 році).  Галузь нараховує 9 підприємств (в т.ч. 6</w:t>
      </w:r>
      <w:r w:rsidRPr="00253DDD">
        <w:rPr>
          <w:sz w:val="26"/>
          <w:szCs w:val="26"/>
          <w:lang w:val="uk-UA" w:eastAsia="ar-SA"/>
        </w:rPr>
        <w:t xml:space="preserve"> – газодобувні підприємства). Питома вага цієї галузі в загальному зборі платежів до міського бюджету усіх підприємств недержавної форми власності складає </w:t>
      </w:r>
      <w:r w:rsidR="009E091D" w:rsidRPr="00253DDD">
        <w:rPr>
          <w:sz w:val="26"/>
          <w:szCs w:val="26"/>
          <w:lang w:val="uk-UA" w:eastAsia="ar-SA"/>
        </w:rPr>
        <w:t>35,2</w:t>
      </w:r>
      <w:r w:rsidRPr="00253DDD">
        <w:rPr>
          <w:sz w:val="26"/>
          <w:szCs w:val="26"/>
          <w:lang w:val="uk-UA" w:eastAsia="ar-SA"/>
        </w:rPr>
        <w:t xml:space="preserve"> відсотків. Найбільші платники - ПАФ «Дністер», АТ «Укргазвидобування», ТзОВ «</w:t>
      </w:r>
      <w:proofErr w:type="spellStart"/>
      <w:r w:rsidRPr="00253DDD">
        <w:rPr>
          <w:sz w:val="26"/>
          <w:szCs w:val="26"/>
          <w:lang w:val="uk-UA" w:eastAsia="ar-SA"/>
        </w:rPr>
        <w:t>Агробудсервіс</w:t>
      </w:r>
      <w:proofErr w:type="spellEnd"/>
      <w:r w:rsidRPr="00253DDD">
        <w:rPr>
          <w:sz w:val="26"/>
          <w:szCs w:val="26"/>
          <w:lang w:val="uk-UA" w:eastAsia="ar-SA"/>
        </w:rPr>
        <w:t>», ПП «Проект – Буд», ТзОВ «</w:t>
      </w:r>
      <w:proofErr w:type="spellStart"/>
      <w:r w:rsidRPr="00253DDD">
        <w:rPr>
          <w:sz w:val="26"/>
          <w:szCs w:val="26"/>
          <w:lang w:val="uk-UA" w:eastAsia="ar-SA"/>
        </w:rPr>
        <w:t>Георозвідка</w:t>
      </w:r>
      <w:proofErr w:type="spellEnd"/>
      <w:r w:rsidRPr="00253DDD">
        <w:rPr>
          <w:sz w:val="26"/>
          <w:szCs w:val="26"/>
          <w:lang w:val="uk-UA" w:eastAsia="ar-SA"/>
        </w:rPr>
        <w:t>»;</w:t>
      </w:r>
    </w:p>
    <w:p w:rsidR="00D070DF" w:rsidRPr="00253DDD" w:rsidRDefault="00D070DF" w:rsidP="00D070DF">
      <w:pPr>
        <w:jc w:val="both"/>
        <w:rPr>
          <w:sz w:val="26"/>
          <w:szCs w:val="26"/>
          <w:lang w:val="uk-UA" w:eastAsia="ar-SA"/>
        </w:rPr>
      </w:pPr>
      <w:r w:rsidRPr="00253DDD">
        <w:rPr>
          <w:sz w:val="26"/>
          <w:szCs w:val="26"/>
          <w:u w:val="single"/>
          <w:lang w:val="uk-UA" w:eastAsia="ar-SA"/>
        </w:rPr>
        <w:t>- з виробництва та розподілення електроенергії, газу</w:t>
      </w:r>
      <w:r w:rsidRPr="00253DDD">
        <w:rPr>
          <w:sz w:val="26"/>
          <w:szCs w:val="26"/>
          <w:lang w:val="uk-UA" w:eastAsia="ar-SA"/>
        </w:rPr>
        <w:t xml:space="preserve"> склав  </w:t>
      </w:r>
      <w:r w:rsidR="00DC4527" w:rsidRPr="00253DDD">
        <w:rPr>
          <w:sz w:val="26"/>
          <w:szCs w:val="26"/>
          <w:lang w:val="uk-UA" w:eastAsia="ar-SA"/>
        </w:rPr>
        <w:t>14 967,5</w:t>
      </w:r>
      <w:r w:rsidRPr="00253DDD">
        <w:rPr>
          <w:sz w:val="26"/>
          <w:szCs w:val="26"/>
          <w:lang w:val="uk-UA" w:eastAsia="ar-SA"/>
        </w:rPr>
        <w:t xml:space="preserve"> тис.</w:t>
      </w:r>
      <w:r w:rsidR="00DC4527" w:rsidRPr="00253DDD">
        <w:rPr>
          <w:sz w:val="26"/>
          <w:szCs w:val="26"/>
          <w:lang w:val="uk-UA" w:eastAsia="ar-SA"/>
        </w:rPr>
        <w:t xml:space="preserve"> </w:t>
      </w:r>
      <w:r w:rsidRPr="00253DDD">
        <w:rPr>
          <w:sz w:val="26"/>
          <w:szCs w:val="26"/>
          <w:lang w:val="uk-UA" w:eastAsia="ar-SA"/>
        </w:rPr>
        <w:t xml:space="preserve">грн. (на </w:t>
      </w:r>
      <w:r w:rsidR="00DC4527" w:rsidRPr="00253DDD">
        <w:rPr>
          <w:sz w:val="26"/>
          <w:szCs w:val="26"/>
          <w:lang w:val="uk-UA" w:eastAsia="ar-SA"/>
        </w:rPr>
        <w:t>4 742,1</w:t>
      </w:r>
      <w:r w:rsidRPr="00253DDD">
        <w:rPr>
          <w:sz w:val="26"/>
          <w:szCs w:val="26"/>
          <w:lang w:val="uk-UA" w:eastAsia="ar-SA"/>
        </w:rPr>
        <w:t xml:space="preserve"> тис.</w:t>
      </w:r>
      <w:r w:rsidR="00DC4527" w:rsidRPr="00253DDD">
        <w:rPr>
          <w:sz w:val="26"/>
          <w:szCs w:val="26"/>
          <w:lang w:val="uk-UA" w:eastAsia="ar-SA"/>
        </w:rPr>
        <w:t xml:space="preserve"> </w:t>
      </w:r>
      <w:r w:rsidRPr="00253DDD">
        <w:rPr>
          <w:sz w:val="26"/>
          <w:szCs w:val="26"/>
          <w:lang w:val="uk-UA" w:eastAsia="ar-SA"/>
        </w:rPr>
        <w:t>грн. більше ніж у</w:t>
      </w:r>
      <w:r w:rsidR="000B3732" w:rsidRPr="00253DDD">
        <w:rPr>
          <w:sz w:val="26"/>
          <w:szCs w:val="26"/>
          <w:lang w:val="uk-UA" w:eastAsia="ar-SA"/>
        </w:rPr>
        <w:t xml:space="preserve"> 2021 році ). Галузь нараховує 11</w:t>
      </w:r>
      <w:r w:rsidRPr="00253DDD">
        <w:rPr>
          <w:sz w:val="26"/>
          <w:szCs w:val="26"/>
          <w:lang w:val="uk-UA" w:eastAsia="ar-SA"/>
        </w:rPr>
        <w:t xml:space="preserve"> підприємств, питома вага цієї галузі в загальному зборі платежів до міського бюджету усіх підприємств недержа</w:t>
      </w:r>
      <w:r w:rsidR="000B3732" w:rsidRPr="00253DDD">
        <w:rPr>
          <w:sz w:val="26"/>
          <w:szCs w:val="26"/>
          <w:lang w:val="uk-UA" w:eastAsia="ar-SA"/>
        </w:rPr>
        <w:t>вної форми власності складає 8,0</w:t>
      </w:r>
      <w:r w:rsidRPr="00253DDD">
        <w:rPr>
          <w:sz w:val="26"/>
          <w:szCs w:val="26"/>
          <w:lang w:val="uk-UA" w:eastAsia="ar-SA"/>
        </w:rPr>
        <w:t xml:space="preserve"> відсотків. Найбільші платники - АТ «Укртрансгаз», Львівська філія Товариства з обмеженою відповідальністю «Газорозподільні мережі України», ПрАТ «</w:t>
      </w:r>
      <w:proofErr w:type="spellStart"/>
      <w:r w:rsidRPr="00253DDD">
        <w:rPr>
          <w:sz w:val="26"/>
          <w:szCs w:val="26"/>
          <w:lang w:val="uk-UA" w:eastAsia="ar-SA"/>
        </w:rPr>
        <w:t>Львівобленерго</w:t>
      </w:r>
      <w:proofErr w:type="spellEnd"/>
      <w:r w:rsidRPr="00253DDD">
        <w:rPr>
          <w:sz w:val="26"/>
          <w:szCs w:val="26"/>
          <w:lang w:val="uk-UA" w:eastAsia="ar-SA"/>
        </w:rPr>
        <w:t>»;</w:t>
      </w:r>
    </w:p>
    <w:p w:rsidR="00D070DF" w:rsidRPr="00253DDD" w:rsidRDefault="00D070DF" w:rsidP="00D070DF">
      <w:pPr>
        <w:jc w:val="both"/>
        <w:rPr>
          <w:sz w:val="26"/>
          <w:szCs w:val="26"/>
          <w:lang w:val="uk-UA" w:eastAsia="ar-SA"/>
        </w:rPr>
      </w:pPr>
      <w:r w:rsidRPr="00253DDD">
        <w:rPr>
          <w:sz w:val="26"/>
          <w:szCs w:val="26"/>
          <w:u w:val="single"/>
          <w:lang w:val="uk-UA" w:eastAsia="ar-SA"/>
        </w:rPr>
        <w:lastRenderedPageBreak/>
        <w:t>- галузей сільського господарства, тваринництва та рибного господарства</w:t>
      </w:r>
      <w:r w:rsidRPr="00253DDD">
        <w:rPr>
          <w:sz w:val="26"/>
          <w:szCs w:val="26"/>
          <w:lang w:val="uk-UA" w:eastAsia="ar-SA"/>
        </w:rPr>
        <w:t xml:space="preserve"> склав  </w:t>
      </w:r>
      <w:r w:rsidR="000278A5" w:rsidRPr="00253DDD">
        <w:rPr>
          <w:sz w:val="26"/>
          <w:szCs w:val="26"/>
          <w:lang w:val="uk-UA" w:eastAsia="ar-SA"/>
        </w:rPr>
        <w:t>20 499,4</w:t>
      </w:r>
      <w:r w:rsidRPr="00253DDD">
        <w:rPr>
          <w:sz w:val="26"/>
          <w:szCs w:val="26"/>
          <w:lang w:val="uk-UA" w:eastAsia="ar-SA"/>
        </w:rPr>
        <w:t xml:space="preserve"> тис.</w:t>
      </w:r>
      <w:r w:rsidR="000278A5" w:rsidRPr="00253DDD">
        <w:rPr>
          <w:sz w:val="26"/>
          <w:szCs w:val="26"/>
          <w:lang w:val="uk-UA" w:eastAsia="ar-SA"/>
        </w:rPr>
        <w:t xml:space="preserve"> </w:t>
      </w:r>
      <w:r w:rsidRPr="00253DDD">
        <w:rPr>
          <w:sz w:val="26"/>
          <w:szCs w:val="26"/>
          <w:lang w:val="uk-UA" w:eastAsia="ar-SA"/>
        </w:rPr>
        <w:t>грн., що б</w:t>
      </w:r>
      <w:r w:rsidR="000278A5" w:rsidRPr="00253DDD">
        <w:rPr>
          <w:sz w:val="26"/>
          <w:szCs w:val="26"/>
          <w:lang w:val="uk-UA" w:eastAsia="ar-SA"/>
        </w:rPr>
        <w:t>ільше ніж у 2021 році на 12 567,5</w:t>
      </w:r>
      <w:r w:rsidRPr="00253DDD">
        <w:rPr>
          <w:sz w:val="26"/>
          <w:szCs w:val="26"/>
          <w:lang w:val="uk-UA" w:eastAsia="ar-SA"/>
        </w:rPr>
        <w:t xml:space="preserve"> тис.</w:t>
      </w:r>
      <w:r w:rsidR="000278A5" w:rsidRPr="00253DDD">
        <w:rPr>
          <w:sz w:val="26"/>
          <w:szCs w:val="26"/>
          <w:lang w:val="uk-UA" w:eastAsia="ar-SA"/>
        </w:rPr>
        <w:t xml:space="preserve"> </w:t>
      </w:r>
      <w:r w:rsidRPr="00253DDD">
        <w:rPr>
          <w:sz w:val="26"/>
          <w:szCs w:val="26"/>
          <w:lang w:val="uk-UA" w:eastAsia="ar-SA"/>
        </w:rPr>
        <w:t xml:space="preserve">грн. Сюди входять </w:t>
      </w:r>
      <w:r w:rsidR="000278A5" w:rsidRPr="00253DDD">
        <w:rPr>
          <w:sz w:val="26"/>
          <w:szCs w:val="26"/>
          <w:lang w:val="uk-UA" w:eastAsia="ar-SA"/>
        </w:rPr>
        <w:t>56 підприємств, з них 23</w:t>
      </w:r>
      <w:r w:rsidRPr="00253DDD">
        <w:rPr>
          <w:sz w:val="26"/>
          <w:szCs w:val="26"/>
          <w:lang w:val="uk-UA" w:eastAsia="ar-SA"/>
        </w:rPr>
        <w:t xml:space="preserve"> – фермерських господарств. Питома вага цієї галузі в загальному зборі платежів до міського бюджету усіх підприємств недержа</w:t>
      </w:r>
      <w:r w:rsidR="000278A5" w:rsidRPr="00253DDD">
        <w:rPr>
          <w:sz w:val="26"/>
          <w:szCs w:val="26"/>
          <w:lang w:val="uk-UA" w:eastAsia="ar-SA"/>
        </w:rPr>
        <w:t>вної форми власності складає 6,7</w:t>
      </w:r>
      <w:r w:rsidRPr="00253DDD">
        <w:rPr>
          <w:sz w:val="26"/>
          <w:szCs w:val="26"/>
          <w:lang w:val="uk-UA" w:eastAsia="ar-SA"/>
        </w:rPr>
        <w:t xml:space="preserve"> відсотків;</w:t>
      </w:r>
    </w:p>
    <w:p w:rsidR="00D070DF" w:rsidRPr="00253DDD" w:rsidRDefault="00D070DF" w:rsidP="00D070DF">
      <w:pPr>
        <w:jc w:val="both"/>
        <w:rPr>
          <w:sz w:val="26"/>
          <w:szCs w:val="26"/>
          <w:lang w:val="uk-UA" w:eastAsia="ar-SA"/>
        </w:rPr>
      </w:pPr>
      <w:r w:rsidRPr="00253DDD">
        <w:rPr>
          <w:sz w:val="26"/>
          <w:szCs w:val="26"/>
          <w:lang w:val="uk-UA" w:eastAsia="ar-SA"/>
        </w:rPr>
        <w:t xml:space="preserve">- </w:t>
      </w:r>
      <w:r w:rsidRPr="00253DDD">
        <w:rPr>
          <w:sz w:val="26"/>
          <w:szCs w:val="26"/>
          <w:u w:val="single"/>
          <w:lang w:val="uk-UA" w:eastAsia="ar-SA"/>
        </w:rPr>
        <w:t>переробна промисловість</w:t>
      </w:r>
      <w:r w:rsidRPr="00253DDD">
        <w:rPr>
          <w:sz w:val="26"/>
          <w:szCs w:val="26"/>
          <w:lang w:val="uk-UA" w:eastAsia="ar-SA"/>
        </w:rPr>
        <w:t xml:space="preserve"> склав  </w:t>
      </w:r>
      <w:r w:rsidR="00A3046E" w:rsidRPr="00253DDD">
        <w:rPr>
          <w:sz w:val="26"/>
          <w:szCs w:val="26"/>
          <w:lang w:val="uk-UA" w:eastAsia="ar-SA"/>
        </w:rPr>
        <w:t>16 305,3</w:t>
      </w:r>
      <w:r w:rsidRPr="00253DDD">
        <w:rPr>
          <w:sz w:val="26"/>
          <w:szCs w:val="26"/>
          <w:lang w:val="uk-UA" w:eastAsia="ar-SA"/>
        </w:rPr>
        <w:t xml:space="preserve"> тис.</w:t>
      </w:r>
      <w:r w:rsidR="00A3046E" w:rsidRPr="00253DDD">
        <w:rPr>
          <w:sz w:val="26"/>
          <w:szCs w:val="26"/>
          <w:lang w:val="uk-UA" w:eastAsia="ar-SA"/>
        </w:rPr>
        <w:t xml:space="preserve"> </w:t>
      </w:r>
      <w:r w:rsidRPr="00253DDD">
        <w:rPr>
          <w:sz w:val="26"/>
          <w:szCs w:val="26"/>
          <w:lang w:val="uk-UA" w:eastAsia="ar-SA"/>
        </w:rPr>
        <w:t xml:space="preserve">грн. (на </w:t>
      </w:r>
      <w:r w:rsidR="00A3046E" w:rsidRPr="00253DDD">
        <w:rPr>
          <w:sz w:val="26"/>
          <w:szCs w:val="26"/>
          <w:lang w:val="uk-UA" w:eastAsia="ar-SA"/>
        </w:rPr>
        <w:t>10 162,9</w:t>
      </w:r>
      <w:r w:rsidRPr="00253DDD">
        <w:rPr>
          <w:sz w:val="26"/>
          <w:szCs w:val="26"/>
          <w:lang w:val="uk-UA" w:eastAsia="ar-SA"/>
        </w:rPr>
        <w:t xml:space="preserve"> тис.</w:t>
      </w:r>
      <w:r w:rsidR="00A3046E" w:rsidRPr="00253DDD">
        <w:rPr>
          <w:sz w:val="26"/>
          <w:szCs w:val="26"/>
          <w:lang w:val="uk-UA" w:eastAsia="ar-SA"/>
        </w:rPr>
        <w:t xml:space="preserve"> </w:t>
      </w:r>
      <w:r w:rsidRPr="00253DDD">
        <w:rPr>
          <w:sz w:val="26"/>
          <w:szCs w:val="26"/>
          <w:lang w:val="uk-UA" w:eastAsia="ar-SA"/>
        </w:rPr>
        <w:t>грн. більше н</w:t>
      </w:r>
      <w:r w:rsidR="00A3046E" w:rsidRPr="00253DDD">
        <w:rPr>
          <w:sz w:val="26"/>
          <w:szCs w:val="26"/>
          <w:lang w:val="uk-UA" w:eastAsia="ar-SA"/>
        </w:rPr>
        <w:t>іж у 2021 році). Сюди входять 24</w:t>
      </w:r>
      <w:r w:rsidRPr="00253DDD">
        <w:rPr>
          <w:sz w:val="26"/>
          <w:szCs w:val="26"/>
          <w:lang w:val="uk-UA" w:eastAsia="ar-SA"/>
        </w:rPr>
        <w:t xml:space="preserve"> підприємства. Питома вага цієї галузі в загальному зборі платежів до міського бюджету усіх підприємств недержа</w:t>
      </w:r>
      <w:r w:rsidR="00A3046E" w:rsidRPr="00253DDD">
        <w:rPr>
          <w:sz w:val="26"/>
          <w:szCs w:val="26"/>
          <w:lang w:val="uk-UA" w:eastAsia="ar-SA"/>
        </w:rPr>
        <w:t>вної форми власності складає 8,7</w:t>
      </w:r>
      <w:r w:rsidRPr="00253DDD">
        <w:rPr>
          <w:sz w:val="26"/>
          <w:szCs w:val="26"/>
          <w:lang w:val="uk-UA" w:eastAsia="ar-SA"/>
        </w:rPr>
        <w:t xml:space="preserve"> відсотків. Найбільші платники - </w:t>
      </w:r>
      <w:proofErr w:type="spellStart"/>
      <w:r w:rsidRPr="00253DDD">
        <w:rPr>
          <w:sz w:val="26"/>
          <w:szCs w:val="26"/>
          <w:lang w:val="uk-UA" w:eastAsia="ar-SA"/>
        </w:rPr>
        <w:t>Дочірне</w:t>
      </w:r>
      <w:proofErr w:type="spellEnd"/>
      <w:r w:rsidRPr="00253DDD">
        <w:rPr>
          <w:sz w:val="26"/>
          <w:szCs w:val="26"/>
          <w:lang w:val="uk-UA" w:eastAsia="ar-SA"/>
        </w:rPr>
        <w:t xml:space="preserve"> підприємство «Юліус Кох Україна», ТзОВ з іноземними інвестиціями «</w:t>
      </w:r>
      <w:proofErr w:type="spellStart"/>
      <w:r w:rsidRPr="00253DDD">
        <w:rPr>
          <w:sz w:val="26"/>
          <w:szCs w:val="26"/>
          <w:lang w:val="uk-UA" w:eastAsia="ar-SA"/>
        </w:rPr>
        <w:t>Хенкель</w:t>
      </w:r>
      <w:proofErr w:type="spellEnd"/>
      <w:r w:rsidRPr="00253DDD">
        <w:rPr>
          <w:sz w:val="26"/>
          <w:szCs w:val="26"/>
          <w:lang w:val="uk-UA" w:eastAsia="ar-SA"/>
        </w:rPr>
        <w:t xml:space="preserve"> </w:t>
      </w:r>
      <w:proofErr w:type="spellStart"/>
      <w:r w:rsidRPr="00253DDD">
        <w:rPr>
          <w:sz w:val="26"/>
          <w:szCs w:val="26"/>
          <w:lang w:val="uk-UA" w:eastAsia="ar-SA"/>
        </w:rPr>
        <w:t>Баутехнік</w:t>
      </w:r>
      <w:proofErr w:type="spellEnd"/>
      <w:r w:rsidRPr="00253DDD">
        <w:rPr>
          <w:sz w:val="26"/>
          <w:szCs w:val="26"/>
          <w:lang w:val="uk-UA" w:eastAsia="ar-SA"/>
        </w:rPr>
        <w:t xml:space="preserve"> (Україна)»;</w:t>
      </w:r>
    </w:p>
    <w:p w:rsidR="00D070DF" w:rsidRPr="00253DDD" w:rsidRDefault="00D070DF" w:rsidP="00D070DF">
      <w:pPr>
        <w:jc w:val="both"/>
        <w:rPr>
          <w:sz w:val="26"/>
          <w:szCs w:val="26"/>
          <w:lang w:val="uk-UA" w:eastAsia="ar-SA"/>
        </w:rPr>
      </w:pPr>
      <w:r w:rsidRPr="00253DDD">
        <w:rPr>
          <w:sz w:val="26"/>
          <w:szCs w:val="26"/>
          <w:u w:val="single"/>
          <w:lang w:val="uk-UA" w:eastAsia="ar-SA"/>
        </w:rPr>
        <w:t xml:space="preserve">- транспорту та зв’язку </w:t>
      </w:r>
      <w:r w:rsidRPr="00253DDD">
        <w:rPr>
          <w:sz w:val="26"/>
          <w:szCs w:val="26"/>
          <w:lang w:val="uk-UA" w:eastAsia="ar-SA"/>
        </w:rPr>
        <w:t xml:space="preserve"> склав </w:t>
      </w:r>
      <w:r w:rsidR="002069AC" w:rsidRPr="00253DDD">
        <w:rPr>
          <w:sz w:val="26"/>
          <w:szCs w:val="26"/>
          <w:lang w:val="uk-UA" w:eastAsia="ar-SA"/>
        </w:rPr>
        <w:t>7 845,0</w:t>
      </w:r>
      <w:r w:rsidRPr="00253DDD">
        <w:rPr>
          <w:sz w:val="26"/>
          <w:szCs w:val="26"/>
          <w:lang w:val="uk-UA" w:eastAsia="ar-SA"/>
        </w:rPr>
        <w:t xml:space="preserve"> тис.</w:t>
      </w:r>
      <w:r w:rsidR="002069AC" w:rsidRPr="00253DDD">
        <w:rPr>
          <w:sz w:val="26"/>
          <w:szCs w:val="26"/>
          <w:lang w:val="uk-UA" w:eastAsia="ar-SA"/>
        </w:rPr>
        <w:t xml:space="preserve"> </w:t>
      </w:r>
      <w:r w:rsidRPr="00253DDD">
        <w:rPr>
          <w:sz w:val="26"/>
          <w:szCs w:val="26"/>
          <w:lang w:val="uk-UA" w:eastAsia="ar-SA"/>
        </w:rPr>
        <w:t xml:space="preserve">грн., що на </w:t>
      </w:r>
      <w:r w:rsidR="002069AC" w:rsidRPr="00253DDD">
        <w:rPr>
          <w:sz w:val="26"/>
          <w:szCs w:val="26"/>
          <w:lang w:val="uk-UA" w:eastAsia="ar-SA"/>
        </w:rPr>
        <w:t>3 804,5</w:t>
      </w:r>
      <w:r w:rsidRPr="00253DDD">
        <w:rPr>
          <w:sz w:val="26"/>
          <w:szCs w:val="26"/>
          <w:lang w:val="uk-UA" w:eastAsia="ar-SA"/>
        </w:rPr>
        <w:t xml:space="preserve"> тис.</w:t>
      </w:r>
      <w:r w:rsidR="002069AC" w:rsidRPr="00253DDD">
        <w:rPr>
          <w:sz w:val="26"/>
          <w:szCs w:val="26"/>
          <w:lang w:val="uk-UA" w:eastAsia="ar-SA"/>
        </w:rPr>
        <w:t xml:space="preserve"> </w:t>
      </w:r>
      <w:r w:rsidRPr="00253DDD">
        <w:rPr>
          <w:sz w:val="26"/>
          <w:szCs w:val="26"/>
          <w:lang w:val="uk-UA" w:eastAsia="ar-SA"/>
        </w:rPr>
        <w:t>грн. більше у порівнянні з 2</w:t>
      </w:r>
      <w:r w:rsidR="002069AC" w:rsidRPr="00253DDD">
        <w:rPr>
          <w:sz w:val="26"/>
          <w:szCs w:val="26"/>
          <w:lang w:val="uk-UA" w:eastAsia="ar-SA"/>
        </w:rPr>
        <w:t>021 роком. Галузі нараховують 27</w:t>
      </w:r>
      <w:r w:rsidRPr="00253DDD">
        <w:rPr>
          <w:sz w:val="26"/>
          <w:szCs w:val="26"/>
          <w:lang w:val="uk-UA" w:eastAsia="ar-SA"/>
        </w:rPr>
        <w:t xml:space="preserve"> підприємства. Питома вага цієї галузі в загальному зборі платежів до міського бюджету усіх підприємств недержавної </w:t>
      </w:r>
      <w:r w:rsidR="002069AC" w:rsidRPr="00253DDD">
        <w:rPr>
          <w:sz w:val="26"/>
          <w:szCs w:val="26"/>
          <w:lang w:val="uk-UA" w:eastAsia="ar-SA"/>
        </w:rPr>
        <w:t>форми власності складає 4,2</w:t>
      </w:r>
      <w:r w:rsidRPr="00253DDD">
        <w:rPr>
          <w:sz w:val="26"/>
          <w:szCs w:val="26"/>
          <w:lang w:val="uk-UA" w:eastAsia="ar-SA"/>
        </w:rPr>
        <w:t xml:space="preserve"> відсотка.</w:t>
      </w:r>
    </w:p>
    <w:p w:rsidR="00D070DF" w:rsidRPr="00253DDD" w:rsidRDefault="00D070DF" w:rsidP="00D070DF">
      <w:pPr>
        <w:ind w:firstLine="708"/>
        <w:jc w:val="both"/>
        <w:rPr>
          <w:sz w:val="26"/>
          <w:szCs w:val="26"/>
          <w:lang w:val="uk-UA" w:eastAsia="ar-SA"/>
        </w:rPr>
      </w:pPr>
      <w:r w:rsidRPr="00253DDD">
        <w:rPr>
          <w:sz w:val="26"/>
          <w:szCs w:val="26"/>
          <w:lang w:val="uk-UA" w:eastAsia="ar-SA"/>
        </w:rPr>
        <w:t>Найбільшими платниками под</w:t>
      </w:r>
      <w:r w:rsidR="005B3F63" w:rsidRPr="00253DDD">
        <w:rPr>
          <w:sz w:val="26"/>
          <w:szCs w:val="26"/>
          <w:lang w:val="uk-UA" w:eastAsia="ar-SA"/>
        </w:rPr>
        <w:t>атків до міського бюджету у 2025</w:t>
      </w:r>
      <w:r w:rsidRPr="00253DDD">
        <w:rPr>
          <w:sz w:val="26"/>
          <w:szCs w:val="26"/>
          <w:lang w:val="uk-UA" w:eastAsia="ar-SA"/>
        </w:rPr>
        <w:t xml:space="preserve"> році є наступні підприємства:</w:t>
      </w:r>
    </w:p>
    <w:p w:rsidR="00D070DF" w:rsidRPr="00253DDD" w:rsidRDefault="00D070DF" w:rsidP="00D070DF">
      <w:pPr>
        <w:numPr>
          <w:ilvl w:val="0"/>
          <w:numId w:val="3"/>
        </w:numPr>
        <w:jc w:val="both"/>
        <w:rPr>
          <w:sz w:val="26"/>
          <w:szCs w:val="26"/>
          <w:lang w:val="uk-UA" w:eastAsia="ar-SA"/>
        </w:rPr>
      </w:pPr>
      <w:r w:rsidRPr="00253DDD">
        <w:rPr>
          <w:sz w:val="26"/>
          <w:szCs w:val="26"/>
          <w:lang w:val="uk-UA" w:eastAsia="ar-SA"/>
        </w:rPr>
        <w:t>ТзОВ «</w:t>
      </w:r>
      <w:proofErr w:type="spellStart"/>
      <w:r w:rsidRPr="00253DDD">
        <w:rPr>
          <w:sz w:val="26"/>
          <w:szCs w:val="26"/>
          <w:lang w:val="uk-UA" w:eastAsia="ar-SA"/>
        </w:rPr>
        <w:t>Георозвідка</w:t>
      </w:r>
      <w:proofErr w:type="spellEnd"/>
      <w:r w:rsidRPr="00253DDD">
        <w:rPr>
          <w:sz w:val="26"/>
          <w:szCs w:val="26"/>
          <w:lang w:val="uk-UA" w:eastAsia="ar-SA"/>
        </w:rPr>
        <w:t>» - спл</w:t>
      </w:r>
      <w:r w:rsidR="001774CA" w:rsidRPr="00253DDD">
        <w:rPr>
          <w:sz w:val="26"/>
          <w:szCs w:val="26"/>
          <w:lang w:val="uk-UA" w:eastAsia="ar-SA"/>
        </w:rPr>
        <w:t>ачено до бюджету всього 42 222,9</w:t>
      </w:r>
      <w:r w:rsidRPr="00253DDD">
        <w:rPr>
          <w:sz w:val="26"/>
          <w:szCs w:val="26"/>
          <w:lang w:val="uk-UA" w:eastAsia="ar-SA"/>
        </w:rPr>
        <w:t xml:space="preserve"> тис.</w:t>
      </w:r>
      <w:r w:rsidR="005B3F63" w:rsidRPr="00253DDD">
        <w:rPr>
          <w:sz w:val="26"/>
          <w:szCs w:val="26"/>
          <w:lang w:val="uk-UA" w:eastAsia="ar-SA"/>
        </w:rPr>
        <w:t xml:space="preserve"> </w:t>
      </w:r>
      <w:r w:rsidRPr="00253DDD">
        <w:rPr>
          <w:sz w:val="26"/>
          <w:szCs w:val="26"/>
          <w:lang w:val="uk-UA" w:eastAsia="ar-SA"/>
        </w:rPr>
        <w:t>грн.;</w:t>
      </w:r>
    </w:p>
    <w:p w:rsidR="00D070DF" w:rsidRPr="00253DDD" w:rsidRDefault="001774CA" w:rsidP="00D070DF">
      <w:pPr>
        <w:numPr>
          <w:ilvl w:val="0"/>
          <w:numId w:val="3"/>
        </w:numPr>
        <w:jc w:val="both"/>
        <w:rPr>
          <w:sz w:val="26"/>
          <w:szCs w:val="26"/>
          <w:lang w:val="uk-UA" w:eastAsia="ar-SA"/>
        </w:rPr>
      </w:pPr>
      <w:r w:rsidRPr="00253DDD">
        <w:rPr>
          <w:sz w:val="26"/>
          <w:szCs w:val="26"/>
          <w:lang w:val="uk-UA" w:eastAsia="ar-SA"/>
        </w:rPr>
        <w:t>ПрАТ «</w:t>
      </w:r>
      <w:proofErr w:type="spellStart"/>
      <w:r w:rsidRPr="00253DDD">
        <w:rPr>
          <w:sz w:val="26"/>
          <w:szCs w:val="26"/>
          <w:lang w:val="uk-UA" w:eastAsia="ar-SA"/>
        </w:rPr>
        <w:t>Миколаївцемент</w:t>
      </w:r>
      <w:proofErr w:type="spellEnd"/>
      <w:r w:rsidRPr="00253DDD">
        <w:rPr>
          <w:sz w:val="26"/>
          <w:szCs w:val="26"/>
          <w:lang w:val="uk-UA" w:eastAsia="ar-SA"/>
        </w:rPr>
        <w:t>» - 24 206,8</w:t>
      </w:r>
      <w:r w:rsidR="00D070DF" w:rsidRPr="00253DDD">
        <w:rPr>
          <w:sz w:val="26"/>
          <w:szCs w:val="26"/>
          <w:lang w:val="uk-UA" w:eastAsia="ar-SA"/>
        </w:rPr>
        <w:t xml:space="preserve"> тис.</w:t>
      </w:r>
      <w:r w:rsidR="005B3F63" w:rsidRPr="00253DDD">
        <w:rPr>
          <w:sz w:val="26"/>
          <w:szCs w:val="26"/>
          <w:lang w:val="uk-UA" w:eastAsia="ar-SA"/>
        </w:rPr>
        <w:t xml:space="preserve"> </w:t>
      </w:r>
      <w:r w:rsidR="00D070DF" w:rsidRPr="00253DDD">
        <w:rPr>
          <w:sz w:val="26"/>
          <w:szCs w:val="26"/>
          <w:lang w:val="uk-UA" w:eastAsia="ar-SA"/>
        </w:rPr>
        <w:t>грн. ;</w:t>
      </w:r>
    </w:p>
    <w:p w:rsidR="00D070DF" w:rsidRPr="00253DDD" w:rsidRDefault="00D070DF" w:rsidP="00D070DF">
      <w:pPr>
        <w:numPr>
          <w:ilvl w:val="0"/>
          <w:numId w:val="3"/>
        </w:numPr>
        <w:jc w:val="both"/>
        <w:rPr>
          <w:sz w:val="26"/>
          <w:szCs w:val="26"/>
          <w:lang w:val="uk-UA" w:eastAsia="ar-SA"/>
        </w:rPr>
      </w:pPr>
      <w:r w:rsidRPr="00253DDD">
        <w:rPr>
          <w:sz w:val="26"/>
          <w:szCs w:val="26"/>
          <w:lang w:val="uk-UA" w:eastAsia="ar-SA"/>
        </w:rPr>
        <w:t>АТ «Укртрансгаз» -</w:t>
      </w:r>
      <w:r w:rsidR="001774CA" w:rsidRPr="00253DDD">
        <w:rPr>
          <w:sz w:val="26"/>
          <w:szCs w:val="26"/>
          <w:lang w:val="uk-UA" w:eastAsia="ar-SA"/>
        </w:rPr>
        <w:t xml:space="preserve"> 7 008,9</w:t>
      </w:r>
      <w:r w:rsidRPr="00253DDD">
        <w:rPr>
          <w:sz w:val="26"/>
          <w:szCs w:val="26"/>
          <w:lang w:val="uk-UA" w:eastAsia="ar-SA"/>
        </w:rPr>
        <w:t xml:space="preserve"> тис.</w:t>
      </w:r>
      <w:r w:rsidR="005B3F63" w:rsidRPr="00253DDD">
        <w:rPr>
          <w:sz w:val="26"/>
          <w:szCs w:val="26"/>
          <w:lang w:val="uk-UA" w:eastAsia="ar-SA"/>
        </w:rPr>
        <w:t xml:space="preserve"> </w:t>
      </w:r>
      <w:r w:rsidRPr="00253DDD">
        <w:rPr>
          <w:sz w:val="26"/>
          <w:szCs w:val="26"/>
          <w:lang w:val="uk-UA" w:eastAsia="ar-SA"/>
        </w:rPr>
        <w:t>грн.;</w:t>
      </w:r>
    </w:p>
    <w:p w:rsidR="001774CA" w:rsidRPr="00253DDD" w:rsidRDefault="001774CA" w:rsidP="001774CA">
      <w:pPr>
        <w:numPr>
          <w:ilvl w:val="0"/>
          <w:numId w:val="3"/>
        </w:numPr>
        <w:jc w:val="both"/>
        <w:rPr>
          <w:sz w:val="26"/>
          <w:szCs w:val="26"/>
          <w:lang w:val="uk-UA" w:eastAsia="ar-SA"/>
        </w:rPr>
      </w:pPr>
      <w:r w:rsidRPr="00253DDD">
        <w:rPr>
          <w:sz w:val="26"/>
          <w:szCs w:val="26"/>
          <w:lang w:val="uk-UA" w:eastAsia="ar-SA"/>
        </w:rPr>
        <w:t>ПАФ «Дністер» - 9 774,3 тис. грн.;</w:t>
      </w:r>
    </w:p>
    <w:p w:rsidR="00D070DF" w:rsidRPr="00253DDD" w:rsidRDefault="001774CA" w:rsidP="001774CA">
      <w:pPr>
        <w:numPr>
          <w:ilvl w:val="0"/>
          <w:numId w:val="3"/>
        </w:numPr>
        <w:jc w:val="both"/>
        <w:rPr>
          <w:sz w:val="26"/>
          <w:szCs w:val="26"/>
          <w:lang w:val="uk-UA" w:eastAsia="ar-SA"/>
        </w:rPr>
      </w:pPr>
      <w:r w:rsidRPr="00253DDD">
        <w:rPr>
          <w:sz w:val="26"/>
          <w:szCs w:val="26"/>
          <w:lang w:val="uk-UA" w:eastAsia="ar-SA"/>
        </w:rPr>
        <w:t>ТзОВ «</w:t>
      </w:r>
      <w:proofErr w:type="spellStart"/>
      <w:r w:rsidRPr="00253DDD">
        <w:rPr>
          <w:sz w:val="26"/>
          <w:szCs w:val="26"/>
          <w:lang w:val="uk-UA" w:eastAsia="ar-SA"/>
        </w:rPr>
        <w:t>Агробудсервіс</w:t>
      </w:r>
      <w:proofErr w:type="spellEnd"/>
      <w:r w:rsidRPr="00253DDD">
        <w:rPr>
          <w:sz w:val="26"/>
          <w:szCs w:val="26"/>
          <w:lang w:val="uk-UA" w:eastAsia="ar-SA"/>
        </w:rPr>
        <w:t>» - 6 924,0</w:t>
      </w:r>
      <w:r w:rsidR="00D070DF" w:rsidRPr="00253DDD">
        <w:rPr>
          <w:sz w:val="26"/>
          <w:szCs w:val="26"/>
          <w:lang w:val="uk-UA" w:eastAsia="ar-SA"/>
        </w:rPr>
        <w:t xml:space="preserve"> тис.</w:t>
      </w:r>
      <w:r w:rsidR="005B3F63" w:rsidRPr="00253DDD">
        <w:rPr>
          <w:sz w:val="26"/>
          <w:szCs w:val="26"/>
          <w:lang w:val="uk-UA" w:eastAsia="ar-SA"/>
        </w:rPr>
        <w:t xml:space="preserve"> </w:t>
      </w:r>
      <w:r w:rsidR="00D070DF" w:rsidRPr="00253DDD">
        <w:rPr>
          <w:sz w:val="26"/>
          <w:szCs w:val="26"/>
          <w:lang w:val="uk-UA" w:eastAsia="ar-SA"/>
        </w:rPr>
        <w:t>грн</w:t>
      </w:r>
      <w:r w:rsidRPr="00253DDD">
        <w:rPr>
          <w:sz w:val="26"/>
          <w:szCs w:val="26"/>
          <w:lang w:val="uk-UA" w:eastAsia="ar-SA"/>
        </w:rPr>
        <w:t>.</w:t>
      </w:r>
      <w:r w:rsidR="00D070DF" w:rsidRPr="00253DDD">
        <w:rPr>
          <w:sz w:val="26"/>
          <w:szCs w:val="26"/>
          <w:lang w:val="uk-UA" w:eastAsia="ar-SA"/>
        </w:rPr>
        <w:t>;</w:t>
      </w:r>
    </w:p>
    <w:p w:rsidR="00C04C7E" w:rsidRPr="00253DDD" w:rsidRDefault="00C04C7E" w:rsidP="001774CA">
      <w:pPr>
        <w:numPr>
          <w:ilvl w:val="0"/>
          <w:numId w:val="3"/>
        </w:numPr>
        <w:jc w:val="both"/>
        <w:rPr>
          <w:sz w:val="26"/>
          <w:szCs w:val="26"/>
          <w:lang w:val="uk-UA" w:eastAsia="ar-SA"/>
        </w:rPr>
      </w:pPr>
      <w:r w:rsidRPr="00253DDD">
        <w:rPr>
          <w:sz w:val="26"/>
          <w:szCs w:val="26"/>
          <w:lang w:val="uk-UA" w:eastAsia="ar-SA"/>
        </w:rPr>
        <w:t>ПП «Проект-Буд» - 4 277,5 тис. грн.;</w:t>
      </w:r>
    </w:p>
    <w:p w:rsidR="00C04C7E" w:rsidRPr="00253DDD" w:rsidRDefault="00C04C7E" w:rsidP="00C04C7E">
      <w:pPr>
        <w:numPr>
          <w:ilvl w:val="0"/>
          <w:numId w:val="3"/>
        </w:numPr>
        <w:jc w:val="both"/>
        <w:rPr>
          <w:sz w:val="26"/>
          <w:szCs w:val="26"/>
          <w:lang w:eastAsia="ar-SA"/>
        </w:rPr>
      </w:pPr>
      <w:proofErr w:type="spellStart"/>
      <w:r w:rsidRPr="00253DDD">
        <w:rPr>
          <w:sz w:val="26"/>
          <w:szCs w:val="26"/>
          <w:lang w:eastAsia="ar-SA"/>
        </w:rPr>
        <w:t>ТзОВ</w:t>
      </w:r>
      <w:proofErr w:type="spellEnd"/>
      <w:r w:rsidRPr="00253DDD">
        <w:rPr>
          <w:sz w:val="26"/>
          <w:szCs w:val="26"/>
          <w:lang w:eastAsia="ar-SA"/>
        </w:rPr>
        <w:t xml:space="preserve"> "</w:t>
      </w:r>
      <w:proofErr w:type="spellStart"/>
      <w:r w:rsidRPr="00253DDD">
        <w:rPr>
          <w:sz w:val="26"/>
          <w:szCs w:val="26"/>
          <w:lang w:eastAsia="ar-SA"/>
        </w:rPr>
        <w:t>Меркор</w:t>
      </w:r>
      <w:proofErr w:type="spellEnd"/>
      <w:r w:rsidRPr="00253DDD">
        <w:rPr>
          <w:sz w:val="26"/>
          <w:szCs w:val="26"/>
          <w:lang w:eastAsia="ar-SA"/>
        </w:rPr>
        <w:t xml:space="preserve"> </w:t>
      </w:r>
      <w:proofErr w:type="spellStart"/>
      <w:r w:rsidRPr="00253DDD">
        <w:rPr>
          <w:sz w:val="26"/>
          <w:szCs w:val="26"/>
          <w:lang w:eastAsia="ar-SA"/>
        </w:rPr>
        <w:t>Україна</w:t>
      </w:r>
      <w:proofErr w:type="spellEnd"/>
      <w:r w:rsidRPr="00253DDD">
        <w:rPr>
          <w:sz w:val="26"/>
          <w:szCs w:val="26"/>
          <w:lang w:eastAsia="ar-SA"/>
        </w:rPr>
        <w:t>"</w:t>
      </w:r>
      <w:r w:rsidRPr="00253DDD">
        <w:rPr>
          <w:sz w:val="26"/>
          <w:szCs w:val="26"/>
          <w:lang w:val="uk-UA" w:eastAsia="ar-SA"/>
        </w:rPr>
        <w:t xml:space="preserve"> – 4 233,7 тис</w:t>
      </w:r>
      <w:proofErr w:type="gramStart"/>
      <w:r w:rsidRPr="00253DDD">
        <w:rPr>
          <w:sz w:val="26"/>
          <w:szCs w:val="26"/>
          <w:lang w:val="uk-UA" w:eastAsia="ar-SA"/>
        </w:rPr>
        <w:t>.</w:t>
      </w:r>
      <w:proofErr w:type="gramEnd"/>
      <w:r w:rsidRPr="00253DDD">
        <w:rPr>
          <w:sz w:val="26"/>
          <w:szCs w:val="26"/>
          <w:lang w:val="uk-UA" w:eastAsia="ar-SA"/>
        </w:rPr>
        <w:t xml:space="preserve"> </w:t>
      </w:r>
      <w:proofErr w:type="gramStart"/>
      <w:r w:rsidRPr="00253DDD">
        <w:rPr>
          <w:sz w:val="26"/>
          <w:szCs w:val="26"/>
          <w:lang w:val="uk-UA" w:eastAsia="ar-SA"/>
        </w:rPr>
        <w:t>г</w:t>
      </w:r>
      <w:proofErr w:type="gramEnd"/>
      <w:r w:rsidRPr="00253DDD">
        <w:rPr>
          <w:sz w:val="26"/>
          <w:szCs w:val="26"/>
          <w:lang w:val="uk-UA" w:eastAsia="ar-SA"/>
        </w:rPr>
        <w:t>рн.;</w:t>
      </w:r>
    </w:p>
    <w:p w:rsidR="00D070DF" w:rsidRPr="00253DDD" w:rsidRDefault="00D070DF" w:rsidP="00D070DF">
      <w:pPr>
        <w:numPr>
          <w:ilvl w:val="0"/>
          <w:numId w:val="3"/>
        </w:numPr>
        <w:jc w:val="both"/>
        <w:rPr>
          <w:sz w:val="26"/>
          <w:szCs w:val="26"/>
          <w:lang w:val="uk-UA" w:eastAsia="ar-SA"/>
        </w:rPr>
      </w:pPr>
      <w:r w:rsidRPr="00253DDD">
        <w:rPr>
          <w:sz w:val="26"/>
          <w:szCs w:val="26"/>
          <w:lang w:val="uk-UA" w:eastAsia="ar-SA"/>
        </w:rPr>
        <w:t>Львівська філія Товариства з обмеженою відповідальністю «Газорозпо</w:t>
      </w:r>
      <w:r w:rsidR="001774CA" w:rsidRPr="00253DDD">
        <w:rPr>
          <w:sz w:val="26"/>
          <w:szCs w:val="26"/>
          <w:lang w:val="uk-UA" w:eastAsia="ar-SA"/>
        </w:rPr>
        <w:t>дільні мережі України» - 3 832,2</w:t>
      </w:r>
      <w:r w:rsidRPr="00253DDD">
        <w:rPr>
          <w:sz w:val="26"/>
          <w:szCs w:val="26"/>
          <w:lang w:val="uk-UA" w:eastAsia="ar-SA"/>
        </w:rPr>
        <w:t xml:space="preserve"> тис.</w:t>
      </w:r>
      <w:r w:rsidR="005B3F63" w:rsidRPr="00253DDD">
        <w:rPr>
          <w:sz w:val="26"/>
          <w:szCs w:val="26"/>
          <w:lang w:val="uk-UA" w:eastAsia="ar-SA"/>
        </w:rPr>
        <w:t xml:space="preserve"> </w:t>
      </w:r>
      <w:r w:rsidRPr="00253DDD">
        <w:rPr>
          <w:sz w:val="26"/>
          <w:szCs w:val="26"/>
          <w:lang w:val="uk-UA" w:eastAsia="ar-SA"/>
        </w:rPr>
        <w:t>грн</w:t>
      </w:r>
      <w:r w:rsidR="001774CA" w:rsidRPr="00253DDD">
        <w:rPr>
          <w:sz w:val="26"/>
          <w:szCs w:val="26"/>
          <w:lang w:val="uk-UA" w:eastAsia="ar-SA"/>
        </w:rPr>
        <w:t>.</w:t>
      </w:r>
      <w:r w:rsidRPr="00253DDD">
        <w:rPr>
          <w:sz w:val="26"/>
          <w:szCs w:val="26"/>
          <w:lang w:val="uk-UA" w:eastAsia="ar-SA"/>
        </w:rPr>
        <w:t>;</w:t>
      </w:r>
    </w:p>
    <w:p w:rsidR="00D070DF" w:rsidRPr="00253DDD" w:rsidRDefault="00D070DF" w:rsidP="00D070DF">
      <w:pPr>
        <w:numPr>
          <w:ilvl w:val="0"/>
          <w:numId w:val="3"/>
        </w:numPr>
        <w:jc w:val="both"/>
        <w:rPr>
          <w:sz w:val="26"/>
          <w:szCs w:val="26"/>
          <w:lang w:val="uk-UA" w:eastAsia="ar-SA"/>
        </w:rPr>
      </w:pPr>
      <w:r w:rsidRPr="00253DDD">
        <w:rPr>
          <w:sz w:val="26"/>
          <w:szCs w:val="26"/>
          <w:lang w:val="uk-UA" w:eastAsia="ar-SA"/>
        </w:rPr>
        <w:t>ТзОВ з іноземними інвестиціями «</w:t>
      </w:r>
      <w:proofErr w:type="spellStart"/>
      <w:r w:rsidRPr="00253DDD">
        <w:rPr>
          <w:sz w:val="26"/>
          <w:szCs w:val="26"/>
          <w:lang w:val="uk-UA" w:eastAsia="ar-SA"/>
        </w:rPr>
        <w:t>Хенкель</w:t>
      </w:r>
      <w:proofErr w:type="spellEnd"/>
      <w:r w:rsidRPr="00253DDD">
        <w:rPr>
          <w:sz w:val="26"/>
          <w:szCs w:val="26"/>
          <w:lang w:val="uk-UA" w:eastAsia="ar-SA"/>
        </w:rPr>
        <w:t xml:space="preserve"> </w:t>
      </w:r>
      <w:proofErr w:type="spellStart"/>
      <w:r w:rsidRPr="00253DDD">
        <w:rPr>
          <w:sz w:val="26"/>
          <w:szCs w:val="26"/>
          <w:lang w:val="uk-UA" w:eastAsia="ar-SA"/>
        </w:rPr>
        <w:t>Баутехнік</w:t>
      </w:r>
      <w:proofErr w:type="spellEnd"/>
      <w:r w:rsidRPr="00253DDD">
        <w:rPr>
          <w:sz w:val="26"/>
          <w:szCs w:val="26"/>
          <w:lang w:val="uk-UA" w:eastAsia="ar-SA"/>
        </w:rPr>
        <w:t xml:space="preserve"> (Україна)» - 3</w:t>
      </w:r>
      <w:r w:rsidR="001774CA" w:rsidRPr="00253DDD">
        <w:rPr>
          <w:sz w:val="26"/>
          <w:szCs w:val="26"/>
          <w:lang w:val="uk-UA" w:eastAsia="ar-SA"/>
        </w:rPr>
        <w:t> 559,0</w:t>
      </w:r>
      <w:r w:rsidRPr="00253DDD">
        <w:rPr>
          <w:sz w:val="26"/>
          <w:szCs w:val="26"/>
          <w:lang w:val="uk-UA" w:eastAsia="ar-SA"/>
        </w:rPr>
        <w:t xml:space="preserve"> тис.</w:t>
      </w:r>
      <w:r w:rsidR="005B3F63" w:rsidRPr="00253DDD">
        <w:rPr>
          <w:sz w:val="26"/>
          <w:szCs w:val="26"/>
          <w:lang w:val="uk-UA" w:eastAsia="ar-SA"/>
        </w:rPr>
        <w:t xml:space="preserve"> </w:t>
      </w:r>
      <w:r w:rsidR="00C04C7E" w:rsidRPr="00253DDD">
        <w:rPr>
          <w:sz w:val="26"/>
          <w:szCs w:val="26"/>
          <w:lang w:val="uk-UA" w:eastAsia="ar-SA"/>
        </w:rPr>
        <w:t>грн.</w:t>
      </w:r>
    </w:p>
    <w:p w:rsidR="00D070DF" w:rsidRPr="00253DDD" w:rsidRDefault="00D070DF" w:rsidP="00D070DF">
      <w:pPr>
        <w:ind w:firstLine="360"/>
        <w:jc w:val="both"/>
        <w:rPr>
          <w:sz w:val="26"/>
          <w:szCs w:val="26"/>
          <w:lang w:val="uk-UA" w:eastAsia="ar-SA"/>
        </w:rPr>
      </w:pPr>
      <w:r w:rsidRPr="00253DDD">
        <w:rPr>
          <w:bCs/>
          <w:sz w:val="26"/>
          <w:szCs w:val="26"/>
          <w:lang w:val="uk-UA" w:eastAsia="uk-UA"/>
        </w:rPr>
        <w:t xml:space="preserve">Як видно, підприємства </w:t>
      </w:r>
      <w:r w:rsidRPr="00253DDD">
        <w:rPr>
          <w:sz w:val="26"/>
          <w:szCs w:val="26"/>
          <w:lang w:val="uk-UA" w:eastAsia="ar-SA"/>
        </w:rPr>
        <w:t>ТзОВ «</w:t>
      </w:r>
      <w:proofErr w:type="spellStart"/>
      <w:r w:rsidRPr="00253DDD">
        <w:rPr>
          <w:sz w:val="26"/>
          <w:szCs w:val="26"/>
          <w:lang w:val="uk-UA" w:eastAsia="ar-SA"/>
        </w:rPr>
        <w:t>Георозвідка</w:t>
      </w:r>
      <w:proofErr w:type="spellEnd"/>
      <w:r w:rsidRPr="00253DDD">
        <w:rPr>
          <w:sz w:val="26"/>
          <w:szCs w:val="26"/>
          <w:lang w:val="uk-UA" w:eastAsia="ar-SA"/>
        </w:rPr>
        <w:t>» та</w:t>
      </w:r>
      <w:r w:rsidRPr="00253DDD">
        <w:rPr>
          <w:bCs/>
          <w:sz w:val="26"/>
          <w:szCs w:val="26"/>
          <w:lang w:val="uk-UA" w:eastAsia="uk-UA"/>
        </w:rPr>
        <w:t xml:space="preserve"> ПРАТ «</w:t>
      </w:r>
      <w:proofErr w:type="spellStart"/>
      <w:r w:rsidRPr="00253DDD">
        <w:rPr>
          <w:bCs/>
          <w:sz w:val="26"/>
          <w:szCs w:val="26"/>
          <w:lang w:val="uk-UA" w:eastAsia="uk-UA"/>
        </w:rPr>
        <w:t>Миколаївцемент</w:t>
      </w:r>
      <w:proofErr w:type="spellEnd"/>
      <w:r w:rsidRPr="00253DDD">
        <w:rPr>
          <w:bCs/>
          <w:sz w:val="26"/>
          <w:szCs w:val="26"/>
          <w:lang w:val="uk-UA" w:eastAsia="uk-UA"/>
        </w:rPr>
        <w:t>» є основними бюджетоутворюючими підприємствами громади.</w:t>
      </w:r>
    </w:p>
    <w:p w:rsidR="00D070DF" w:rsidRPr="00253DDD" w:rsidRDefault="00E37198" w:rsidP="00D070DF">
      <w:pPr>
        <w:ind w:firstLine="360"/>
        <w:jc w:val="both"/>
        <w:rPr>
          <w:sz w:val="26"/>
          <w:szCs w:val="26"/>
          <w:lang w:val="uk-UA"/>
        </w:rPr>
      </w:pPr>
      <w:r w:rsidRPr="00253DDD">
        <w:rPr>
          <w:sz w:val="26"/>
          <w:szCs w:val="26"/>
          <w:lang w:val="uk-UA"/>
        </w:rPr>
        <w:t>У 2025</w:t>
      </w:r>
      <w:r w:rsidR="00D070DF" w:rsidRPr="00253DDD">
        <w:rPr>
          <w:sz w:val="26"/>
          <w:szCs w:val="26"/>
          <w:lang w:val="uk-UA"/>
        </w:rPr>
        <w:t xml:space="preserve"> році по загальному фонду з державного бюджету для Миколаївської громади передбачалось отримати</w:t>
      </w:r>
      <w:r w:rsidRPr="00253DDD">
        <w:rPr>
          <w:sz w:val="26"/>
          <w:szCs w:val="26"/>
          <w:lang w:val="uk-UA"/>
        </w:rPr>
        <w:t xml:space="preserve"> офіційних трансфертів 131 777,7</w:t>
      </w:r>
      <w:r w:rsidR="00D070DF" w:rsidRPr="00253DDD">
        <w:rPr>
          <w:sz w:val="26"/>
          <w:szCs w:val="26"/>
          <w:lang w:val="uk-UA"/>
        </w:rPr>
        <w:t xml:space="preserve"> тис.</w:t>
      </w:r>
      <w:r w:rsidRPr="00253DDD">
        <w:rPr>
          <w:sz w:val="26"/>
          <w:szCs w:val="26"/>
          <w:lang w:val="uk-UA"/>
        </w:rPr>
        <w:t xml:space="preserve"> </w:t>
      </w:r>
      <w:r w:rsidR="00D070DF" w:rsidRPr="00253DDD">
        <w:rPr>
          <w:sz w:val="26"/>
          <w:szCs w:val="26"/>
          <w:lang w:val="uk-UA"/>
        </w:rPr>
        <w:t>грн</w:t>
      </w:r>
      <w:r w:rsidR="001201F8" w:rsidRPr="00253DDD">
        <w:rPr>
          <w:sz w:val="26"/>
          <w:szCs w:val="26"/>
          <w:lang w:val="uk-UA"/>
        </w:rPr>
        <w:t>., фактично отримано 129 710,5</w:t>
      </w:r>
      <w:r w:rsidR="00D070DF" w:rsidRPr="00253DDD">
        <w:rPr>
          <w:sz w:val="26"/>
          <w:szCs w:val="26"/>
          <w:lang w:val="uk-UA"/>
        </w:rPr>
        <w:t xml:space="preserve"> тис.</w:t>
      </w:r>
      <w:r w:rsidR="001201F8" w:rsidRPr="00253DDD">
        <w:rPr>
          <w:sz w:val="26"/>
          <w:szCs w:val="26"/>
          <w:lang w:val="uk-UA"/>
        </w:rPr>
        <w:t xml:space="preserve"> грн. (98,4</w:t>
      </w:r>
      <w:r w:rsidR="00EE3169" w:rsidRPr="00253DDD">
        <w:rPr>
          <w:sz w:val="26"/>
          <w:szCs w:val="26"/>
          <w:lang w:val="uk-UA"/>
        </w:rPr>
        <w:t xml:space="preserve">%): </w:t>
      </w:r>
      <w:r w:rsidR="00D070DF" w:rsidRPr="00253DDD">
        <w:rPr>
          <w:sz w:val="26"/>
          <w:szCs w:val="26"/>
          <w:lang w:val="uk-UA"/>
        </w:rPr>
        <w:t xml:space="preserve">базової дотації фактично надійшло </w:t>
      </w:r>
      <w:r w:rsidR="00404174" w:rsidRPr="00253DDD">
        <w:rPr>
          <w:sz w:val="26"/>
          <w:szCs w:val="26"/>
          <w:lang w:val="uk-UA"/>
        </w:rPr>
        <w:t>648,9</w:t>
      </w:r>
      <w:r w:rsidR="00D070DF" w:rsidRPr="00253DDD">
        <w:rPr>
          <w:sz w:val="26"/>
          <w:szCs w:val="26"/>
          <w:lang w:val="uk-UA"/>
        </w:rPr>
        <w:t xml:space="preserve"> тис.</w:t>
      </w:r>
      <w:r w:rsidR="00404174" w:rsidRPr="00253DDD">
        <w:rPr>
          <w:sz w:val="26"/>
          <w:szCs w:val="26"/>
          <w:lang w:val="uk-UA"/>
        </w:rPr>
        <w:t xml:space="preserve"> грн., що становить 100,0% до плану на 2025</w:t>
      </w:r>
      <w:r w:rsidR="00D070DF" w:rsidRPr="00253DDD">
        <w:rPr>
          <w:sz w:val="26"/>
          <w:szCs w:val="26"/>
          <w:lang w:val="uk-UA"/>
        </w:rPr>
        <w:t xml:space="preserve"> рік, субвенції  з державного бюджету місце</w:t>
      </w:r>
      <w:r w:rsidR="002C058C" w:rsidRPr="00253DDD">
        <w:rPr>
          <w:sz w:val="26"/>
          <w:szCs w:val="26"/>
          <w:lang w:val="uk-UA"/>
        </w:rPr>
        <w:t>вим бюджетам при плані 131 128,8</w:t>
      </w:r>
      <w:r w:rsidR="00D070DF" w:rsidRPr="00253DDD">
        <w:rPr>
          <w:sz w:val="26"/>
          <w:szCs w:val="26"/>
          <w:lang w:val="uk-UA"/>
        </w:rPr>
        <w:t xml:space="preserve"> тис.</w:t>
      </w:r>
      <w:r w:rsidR="002C058C" w:rsidRPr="00253DDD">
        <w:rPr>
          <w:sz w:val="26"/>
          <w:szCs w:val="26"/>
          <w:lang w:val="uk-UA"/>
        </w:rPr>
        <w:t xml:space="preserve"> </w:t>
      </w:r>
      <w:r w:rsidR="00D070DF" w:rsidRPr="00253DDD">
        <w:rPr>
          <w:sz w:val="26"/>
          <w:szCs w:val="26"/>
          <w:lang w:val="uk-UA"/>
        </w:rPr>
        <w:t>г</w:t>
      </w:r>
      <w:r w:rsidR="002C058C" w:rsidRPr="00253DDD">
        <w:rPr>
          <w:sz w:val="26"/>
          <w:szCs w:val="26"/>
          <w:lang w:val="uk-UA"/>
        </w:rPr>
        <w:t>рн.  фактично надійшло 129 061,6</w:t>
      </w:r>
      <w:r w:rsidR="00D070DF" w:rsidRPr="00253DDD">
        <w:rPr>
          <w:sz w:val="26"/>
          <w:szCs w:val="26"/>
          <w:lang w:val="uk-UA"/>
        </w:rPr>
        <w:t xml:space="preserve">  тис.</w:t>
      </w:r>
      <w:r w:rsidR="002C058C" w:rsidRPr="00253DDD">
        <w:rPr>
          <w:sz w:val="26"/>
          <w:szCs w:val="26"/>
          <w:lang w:val="uk-UA"/>
        </w:rPr>
        <w:t xml:space="preserve"> грн. (</w:t>
      </w:r>
      <w:r w:rsidR="00D070DF" w:rsidRPr="00253DDD">
        <w:rPr>
          <w:sz w:val="26"/>
          <w:szCs w:val="26"/>
          <w:lang w:val="uk-UA"/>
        </w:rPr>
        <w:t xml:space="preserve"> </w:t>
      </w:r>
      <w:r w:rsidR="002C058C" w:rsidRPr="00253DDD">
        <w:rPr>
          <w:sz w:val="26"/>
          <w:szCs w:val="26"/>
          <w:lang w:val="uk-UA"/>
        </w:rPr>
        <w:t>98,4</w:t>
      </w:r>
      <w:r w:rsidR="00D070DF" w:rsidRPr="00253DDD">
        <w:rPr>
          <w:sz w:val="26"/>
          <w:szCs w:val="26"/>
          <w:lang w:val="uk-UA"/>
        </w:rPr>
        <w:t xml:space="preserve">%),  а саме: субвенція з державного бюджету місцевим бюджетам на забезпечення харчуванням учнів початкових класів закладів загальної середньої освіти при плані </w:t>
      </w:r>
      <w:r w:rsidR="00F429B3" w:rsidRPr="00253DDD">
        <w:rPr>
          <w:sz w:val="26"/>
          <w:szCs w:val="26"/>
          <w:lang w:val="uk-UA"/>
        </w:rPr>
        <w:t>3 569,2</w:t>
      </w:r>
      <w:r w:rsidR="00D070DF" w:rsidRPr="00253DDD">
        <w:rPr>
          <w:sz w:val="26"/>
          <w:szCs w:val="26"/>
          <w:lang w:val="uk-UA"/>
        </w:rPr>
        <w:t xml:space="preserve"> тис.</w:t>
      </w:r>
      <w:r w:rsidR="00F429B3" w:rsidRPr="00253DDD">
        <w:rPr>
          <w:sz w:val="26"/>
          <w:szCs w:val="26"/>
          <w:lang w:val="uk-UA"/>
        </w:rPr>
        <w:t xml:space="preserve"> </w:t>
      </w:r>
      <w:r w:rsidR="00D070DF" w:rsidRPr="00253DDD">
        <w:rPr>
          <w:sz w:val="26"/>
          <w:szCs w:val="26"/>
          <w:lang w:val="uk-UA"/>
        </w:rPr>
        <w:t xml:space="preserve">грн. фактично надійшло </w:t>
      </w:r>
      <w:r w:rsidR="00F429B3" w:rsidRPr="00253DDD">
        <w:rPr>
          <w:sz w:val="26"/>
          <w:szCs w:val="26"/>
          <w:lang w:val="uk-UA"/>
        </w:rPr>
        <w:t>2 347,4</w:t>
      </w:r>
      <w:r w:rsidR="00D070DF" w:rsidRPr="00253DDD">
        <w:rPr>
          <w:sz w:val="26"/>
          <w:szCs w:val="26"/>
          <w:lang w:val="uk-UA"/>
        </w:rPr>
        <w:t xml:space="preserve"> тис.</w:t>
      </w:r>
      <w:r w:rsidR="00F429B3" w:rsidRPr="00253DDD">
        <w:rPr>
          <w:sz w:val="26"/>
          <w:szCs w:val="26"/>
          <w:lang w:val="uk-UA"/>
        </w:rPr>
        <w:t xml:space="preserve"> грн., що становить 65,8</w:t>
      </w:r>
      <w:r w:rsidR="00D070DF" w:rsidRPr="00253DDD">
        <w:rPr>
          <w:sz w:val="26"/>
          <w:szCs w:val="26"/>
          <w:lang w:val="uk-UA"/>
        </w:rPr>
        <w:t xml:space="preserve"> %,  освітньої субвенції з державного бюджету місцевим бюджетам фактично надійшло </w:t>
      </w:r>
      <w:r w:rsidR="00F429B3" w:rsidRPr="00253DDD">
        <w:rPr>
          <w:sz w:val="26"/>
          <w:szCs w:val="26"/>
          <w:lang w:val="uk-UA"/>
        </w:rPr>
        <w:t xml:space="preserve">111 675,9 </w:t>
      </w:r>
      <w:r w:rsidR="00D070DF" w:rsidRPr="00253DDD">
        <w:rPr>
          <w:sz w:val="26"/>
          <w:szCs w:val="26"/>
          <w:lang w:val="uk-UA"/>
        </w:rPr>
        <w:t>тис.</w:t>
      </w:r>
      <w:r w:rsidR="00F429B3" w:rsidRPr="00253DDD">
        <w:rPr>
          <w:sz w:val="26"/>
          <w:szCs w:val="26"/>
          <w:lang w:val="uk-UA"/>
        </w:rPr>
        <w:t xml:space="preserve"> </w:t>
      </w:r>
      <w:r w:rsidR="00D070DF" w:rsidRPr="00253DDD">
        <w:rPr>
          <w:sz w:val="26"/>
          <w:szCs w:val="26"/>
          <w:lang w:val="uk-UA"/>
        </w:rPr>
        <w:t>грн</w:t>
      </w:r>
      <w:r w:rsidR="00F429B3" w:rsidRPr="00253DDD">
        <w:rPr>
          <w:sz w:val="26"/>
          <w:szCs w:val="26"/>
          <w:lang w:val="uk-UA"/>
        </w:rPr>
        <w:t xml:space="preserve">. (100,0%), </w:t>
      </w:r>
      <w:r w:rsidR="00D041B1" w:rsidRPr="00253DDD">
        <w:rPr>
          <w:sz w:val="26"/>
          <w:szCs w:val="26"/>
          <w:lang w:val="uk-UA"/>
        </w:rPr>
        <w:t xml:space="preserve">субвенції з державного бюджету місцевим бюджетам на надання державної підтримки особам з особливими освітніми потребами заплановано і надійшло 433,8 тис. грн., </w:t>
      </w:r>
      <w:r w:rsidR="00641132" w:rsidRPr="00253DDD">
        <w:rPr>
          <w:sz w:val="26"/>
          <w:szCs w:val="26"/>
          <w:lang w:val="uk-UA"/>
        </w:rPr>
        <w:t xml:space="preserve">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r w:rsidR="00404E6F" w:rsidRPr="00253DDD">
        <w:rPr>
          <w:sz w:val="26"/>
          <w:szCs w:val="26"/>
          <w:lang w:val="uk-UA"/>
        </w:rPr>
        <w:t xml:space="preserve">фактично </w:t>
      </w:r>
      <w:r w:rsidR="0007640F" w:rsidRPr="00253DDD">
        <w:rPr>
          <w:sz w:val="26"/>
          <w:szCs w:val="26"/>
          <w:lang w:val="uk-UA"/>
        </w:rPr>
        <w:t>надійшло 1 775,2 тис. грн., що становить 100% до плану</w:t>
      </w:r>
      <w:r w:rsidR="006C3189" w:rsidRPr="00253DDD">
        <w:rPr>
          <w:sz w:val="26"/>
          <w:szCs w:val="26"/>
          <w:lang w:val="uk-UA"/>
        </w:rPr>
        <w:t xml:space="preserve">, субвенції з державного бюджету місцевим бюджетам на здійснення доплат педагогічним працівникам закладів загальної середньої освіти – при плані 13 674,7 тис. грн. фактично надійшло 12 829,3 тис. грн. або 93,8%. </w:t>
      </w:r>
    </w:p>
    <w:p w:rsidR="00A87599" w:rsidRPr="00253DDD" w:rsidRDefault="00D070DF" w:rsidP="00D070DF">
      <w:pPr>
        <w:ind w:firstLine="708"/>
        <w:jc w:val="both"/>
        <w:rPr>
          <w:sz w:val="26"/>
          <w:szCs w:val="26"/>
          <w:lang w:val="uk-UA"/>
        </w:rPr>
      </w:pPr>
      <w:r w:rsidRPr="00253DDD">
        <w:rPr>
          <w:sz w:val="26"/>
          <w:szCs w:val="26"/>
          <w:lang w:val="uk-UA"/>
        </w:rPr>
        <w:lastRenderedPageBreak/>
        <w:t>Субвенцій з місцевих бюджетів іншим місцевим бюджетам зап</w:t>
      </w:r>
      <w:r w:rsidR="00073AEC" w:rsidRPr="00253DDD">
        <w:rPr>
          <w:sz w:val="26"/>
          <w:szCs w:val="26"/>
          <w:lang w:val="uk-UA"/>
        </w:rPr>
        <w:t>лановано в сумі 17 310,4</w:t>
      </w:r>
      <w:r w:rsidRPr="00253DDD">
        <w:rPr>
          <w:sz w:val="26"/>
          <w:szCs w:val="26"/>
          <w:lang w:val="uk-UA"/>
        </w:rPr>
        <w:t xml:space="preserve"> тис.</w:t>
      </w:r>
      <w:r w:rsidR="00073AEC" w:rsidRPr="00253DDD">
        <w:rPr>
          <w:sz w:val="26"/>
          <w:szCs w:val="26"/>
          <w:lang w:val="uk-UA"/>
        </w:rPr>
        <w:t xml:space="preserve"> грн., надійшло 15 265,5</w:t>
      </w:r>
      <w:r w:rsidRPr="00253DDD">
        <w:rPr>
          <w:sz w:val="26"/>
          <w:szCs w:val="26"/>
          <w:lang w:val="uk-UA"/>
        </w:rPr>
        <w:t xml:space="preserve"> тис.</w:t>
      </w:r>
      <w:r w:rsidR="00073AEC" w:rsidRPr="00253DDD">
        <w:rPr>
          <w:sz w:val="26"/>
          <w:szCs w:val="26"/>
          <w:lang w:val="uk-UA"/>
        </w:rPr>
        <w:t xml:space="preserve"> грн. (88,2</w:t>
      </w:r>
      <w:r w:rsidRPr="00253DDD">
        <w:rPr>
          <w:sz w:val="26"/>
          <w:szCs w:val="26"/>
          <w:lang w:val="uk-UA"/>
        </w:rPr>
        <w:t xml:space="preserve">%), а саме: </w:t>
      </w:r>
      <w:r w:rsidR="00AC6A66" w:rsidRPr="00253DDD">
        <w:rPr>
          <w:sz w:val="26"/>
          <w:szCs w:val="26"/>
          <w:lang w:val="uk-UA"/>
        </w:rPr>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w:t>
      </w:r>
      <w:r w:rsidR="000E0DA8" w:rsidRPr="00253DDD">
        <w:rPr>
          <w:sz w:val="26"/>
          <w:szCs w:val="26"/>
          <w:lang w:val="uk-UA"/>
        </w:rPr>
        <w:t>шої статті 10-1 Закону України «</w:t>
      </w:r>
      <w:r w:rsidR="00AC6A66" w:rsidRPr="00253DDD">
        <w:rPr>
          <w:sz w:val="26"/>
          <w:szCs w:val="26"/>
          <w:lang w:val="uk-UA"/>
        </w:rPr>
        <w:t>Про статус ветеранів</w:t>
      </w:r>
      <w:r w:rsidR="000E0DA8" w:rsidRPr="00253DDD">
        <w:rPr>
          <w:sz w:val="26"/>
          <w:szCs w:val="26"/>
          <w:lang w:val="uk-UA"/>
        </w:rPr>
        <w:t xml:space="preserve">» </w:t>
      </w:r>
      <w:r w:rsidR="006004F7" w:rsidRPr="00253DDD">
        <w:rPr>
          <w:sz w:val="26"/>
          <w:szCs w:val="26"/>
          <w:lang w:val="uk-UA"/>
        </w:rPr>
        <w:t xml:space="preserve">заплановано та фактично надійшло </w:t>
      </w:r>
      <w:r w:rsidR="0000010E" w:rsidRPr="00253DDD">
        <w:rPr>
          <w:sz w:val="26"/>
          <w:szCs w:val="26"/>
          <w:lang w:val="uk-UA"/>
        </w:rPr>
        <w:t>2 998,</w:t>
      </w:r>
      <w:r w:rsidR="007B0DB6" w:rsidRPr="00253DDD">
        <w:rPr>
          <w:sz w:val="26"/>
          <w:szCs w:val="26"/>
          <w:lang w:val="uk-UA"/>
        </w:rPr>
        <w:t>2</w:t>
      </w:r>
      <w:r w:rsidR="0000010E" w:rsidRPr="00253DDD">
        <w:rPr>
          <w:sz w:val="26"/>
          <w:szCs w:val="26"/>
          <w:lang w:val="uk-UA"/>
        </w:rPr>
        <w:t xml:space="preserve"> тис. грн.,</w:t>
      </w:r>
      <w:r w:rsidR="00250108" w:rsidRPr="00253DDD">
        <w:rPr>
          <w:sz w:val="26"/>
          <w:szCs w:val="26"/>
          <w:lang w:val="uk-UA"/>
        </w:rPr>
        <w:t xml:space="preserve"> </w:t>
      </w:r>
      <w:r w:rsidRPr="00253DDD">
        <w:rPr>
          <w:sz w:val="26"/>
          <w:szCs w:val="26"/>
          <w:lang w:val="uk-UA"/>
        </w:rPr>
        <w:t>субвенція з місцевого бюджету на здійснення переданих видатків у сфері освіти за рахунок коштів освітнь</w:t>
      </w:r>
      <w:r w:rsidR="00250108" w:rsidRPr="00253DDD">
        <w:rPr>
          <w:sz w:val="26"/>
          <w:szCs w:val="26"/>
          <w:lang w:val="uk-UA"/>
        </w:rPr>
        <w:t>ої субвенції заплановано 1 570,8</w:t>
      </w:r>
      <w:r w:rsidRPr="00253DDD">
        <w:rPr>
          <w:sz w:val="26"/>
          <w:szCs w:val="26"/>
          <w:lang w:val="uk-UA"/>
        </w:rPr>
        <w:t xml:space="preserve"> тис.</w:t>
      </w:r>
      <w:r w:rsidR="00250108" w:rsidRPr="00253DDD">
        <w:rPr>
          <w:sz w:val="26"/>
          <w:szCs w:val="26"/>
          <w:lang w:val="uk-UA"/>
        </w:rPr>
        <w:t xml:space="preserve"> </w:t>
      </w:r>
      <w:r w:rsidR="00EA0E2D" w:rsidRPr="00253DDD">
        <w:rPr>
          <w:sz w:val="26"/>
          <w:szCs w:val="26"/>
          <w:lang w:val="uk-UA"/>
        </w:rPr>
        <w:t>грн., надійшло 1 568,6</w:t>
      </w:r>
      <w:r w:rsidRPr="00253DDD">
        <w:rPr>
          <w:sz w:val="26"/>
          <w:szCs w:val="26"/>
          <w:lang w:val="uk-UA"/>
        </w:rPr>
        <w:t xml:space="preserve"> тис.</w:t>
      </w:r>
      <w:r w:rsidR="00EA0E2D" w:rsidRPr="00253DDD">
        <w:rPr>
          <w:sz w:val="26"/>
          <w:szCs w:val="26"/>
          <w:lang w:val="uk-UA"/>
        </w:rPr>
        <w:t xml:space="preserve"> грн. або </w:t>
      </w:r>
      <w:r w:rsidR="007A21C1" w:rsidRPr="00253DDD">
        <w:rPr>
          <w:sz w:val="26"/>
          <w:szCs w:val="26"/>
          <w:lang w:val="uk-UA"/>
        </w:rPr>
        <w:t>99,8</w:t>
      </w:r>
      <w:r w:rsidRPr="00253DDD">
        <w:rPr>
          <w:sz w:val="26"/>
          <w:szCs w:val="26"/>
          <w:lang w:val="uk-UA"/>
        </w:rPr>
        <w:t xml:space="preserve">%, інші субвенції з місцевого бюджету заплановано </w:t>
      </w:r>
      <w:r w:rsidR="00204EED" w:rsidRPr="00253DDD">
        <w:rPr>
          <w:sz w:val="26"/>
          <w:szCs w:val="26"/>
          <w:lang w:val="uk-UA"/>
        </w:rPr>
        <w:t>12 199,3</w:t>
      </w:r>
      <w:r w:rsidRPr="00253DDD">
        <w:rPr>
          <w:sz w:val="26"/>
          <w:szCs w:val="26"/>
          <w:lang w:val="uk-UA"/>
        </w:rPr>
        <w:t xml:space="preserve"> тис.</w:t>
      </w:r>
      <w:r w:rsidR="00204EED" w:rsidRPr="00253DDD">
        <w:rPr>
          <w:sz w:val="26"/>
          <w:szCs w:val="26"/>
          <w:lang w:val="uk-UA"/>
        </w:rPr>
        <w:t xml:space="preserve"> </w:t>
      </w:r>
      <w:r w:rsidRPr="00253DDD">
        <w:rPr>
          <w:sz w:val="26"/>
          <w:szCs w:val="26"/>
          <w:lang w:val="uk-UA"/>
        </w:rPr>
        <w:t xml:space="preserve">грн., надійшло </w:t>
      </w:r>
      <w:r w:rsidR="00204EED" w:rsidRPr="00253DDD">
        <w:rPr>
          <w:sz w:val="26"/>
          <w:szCs w:val="26"/>
          <w:lang w:val="uk-UA"/>
        </w:rPr>
        <w:t>10 156,6</w:t>
      </w:r>
      <w:r w:rsidRPr="00253DDD">
        <w:rPr>
          <w:sz w:val="26"/>
          <w:szCs w:val="26"/>
          <w:lang w:val="uk-UA"/>
        </w:rPr>
        <w:t xml:space="preserve"> тис.</w:t>
      </w:r>
      <w:r w:rsidR="00204EED" w:rsidRPr="00253DDD">
        <w:rPr>
          <w:sz w:val="26"/>
          <w:szCs w:val="26"/>
          <w:lang w:val="uk-UA"/>
        </w:rPr>
        <w:t xml:space="preserve"> </w:t>
      </w:r>
      <w:r w:rsidRPr="00253DDD">
        <w:rPr>
          <w:sz w:val="26"/>
          <w:szCs w:val="26"/>
          <w:lang w:val="uk-UA"/>
        </w:rPr>
        <w:t>грн.</w:t>
      </w:r>
      <w:r w:rsidR="00204EED" w:rsidRPr="00253DDD">
        <w:rPr>
          <w:sz w:val="26"/>
          <w:szCs w:val="26"/>
          <w:lang w:val="uk-UA"/>
        </w:rPr>
        <w:t xml:space="preserve"> (83,2</w:t>
      </w:r>
      <w:r w:rsidRPr="00253DDD">
        <w:rPr>
          <w:sz w:val="26"/>
          <w:szCs w:val="26"/>
          <w:lang w:val="uk-UA"/>
        </w:rPr>
        <w:t>%),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w:t>
      </w:r>
      <w:r w:rsidR="00C115D1" w:rsidRPr="00253DDD">
        <w:rPr>
          <w:sz w:val="26"/>
          <w:szCs w:val="26"/>
          <w:lang w:val="uk-UA"/>
        </w:rPr>
        <w:t>ету заплановано та надійшло 70,3</w:t>
      </w:r>
      <w:r w:rsidRPr="00253DDD">
        <w:rPr>
          <w:sz w:val="26"/>
          <w:szCs w:val="26"/>
          <w:lang w:val="uk-UA"/>
        </w:rPr>
        <w:t xml:space="preserve"> тис.</w:t>
      </w:r>
      <w:r w:rsidR="00C115D1" w:rsidRPr="00253DDD">
        <w:rPr>
          <w:sz w:val="26"/>
          <w:szCs w:val="26"/>
          <w:lang w:val="uk-UA"/>
        </w:rPr>
        <w:t xml:space="preserve"> </w:t>
      </w:r>
      <w:r w:rsidR="003379DF" w:rsidRPr="00253DDD">
        <w:rPr>
          <w:sz w:val="26"/>
          <w:szCs w:val="26"/>
          <w:lang w:val="uk-UA"/>
        </w:rPr>
        <w:t>грн</w:t>
      </w:r>
      <w:r w:rsidRPr="00253DDD">
        <w:rPr>
          <w:sz w:val="26"/>
          <w:szCs w:val="26"/>
          <w:lang w:val="uk-UA"/>
        </w:rPr>
        <w:t>.</w:t>
      </w:r>
      <w:r w:rsidR="003379DF" w:rsidRPr="00253DDD">
        <w:rPr>
          <w:sz w:val="26"/>
          <w:szCs w:val="26"/>
          <w:lang w:val="uk-UA"/>
        </w:rPr>
        <w:t xml:space="preserve">, </w:t>
      </w:r>
      <w:r w:rsidR="00A87599" w:rsidRPr="00253DDD">
        <w:rPr>
          <w:sz w:val="26"/>
          <w:szCs w:val="26"/>
          <w:lang w:val="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 фактично надійшло 471,8 тис. грн. (100,0%).</w:t>
      </w:r>
    </w:p>
    <w:p w:rsidR="008205DD" w:rsidRPr="00253DDD" w:rsidRDefault="00D070DF" w:rsidP="00D070DF">
      <w:pPr>
        <w:ind w:firstLine="708"/>
        <w:jc w:val="both"/>
        <w:rPr>
          <w:sz w:val="26"/>
          <w:szCs w:val="26"/>
          <w:lang w:val="uk-UA"/>
        </w:rPr>
      </w:pPr>
      <w:r w:rsidRPr="00253DDD">
        <w:rPr>
          <w:sz w:val="26"/>
          <w:szCs w:val="26"/>
          <w:lang w:val="uk-UA"/>
        </w:rPr>
        <w:t xml:space="preserve">До спеціального фонду міжбюджетних трансфертів заплановано в сумі </w:t>
      </w:r>
      <w:r w:rsidR="00B30B8C" w:rsidRPr="00253DDD">
        <w:rPr>
          <w:sz w:val="26"/>
          <w:szCs w:val="26"/>
          <w:lang w:val="uk-UA"/>
        </w:rPr>
        <w:t>2 943,6</w:t>
      </w:r>
      <w:r w:rsidRPr="00253DDD">
        <w:rPr>
          <w:sz w:val="26"/>
          <w:szCs w:val="26"/>
          <w:lang w:val="uk-UA"/>
        </w:rPr>
        <w:t xml:space="preserve"> тис.</w:t>
      </w:r>
      <w:r w:rsidR="00B30B8C" w:rsidRPr="00253DDD">
        <w:rPr>
          <w:sz w:val="26"/>
          <w:szCs w:val="26"/>
          <w:lang w:val="uk-UA"/>
        </w:rPr>
        <w:t xml:space="preserve"> грн., надійшло 2 910,6</w:t>
      </w:r>
      <w:r w:rsidRPr="00253DDD">
        <w:rPr>
          <w:sz w:val="26"/>
          <w:szCs w:val="26"/>
          <w:lang w:val="uk-UA"/>
        </w:rPr>
        <w:t xml:space="preserve"> тис.</w:t>
      </w:r>
      <w:r w:rsidR="00B30B8C" w:rsidRPr="00253DDD">
        <w:rPr>
          <w:sz w:val="26"/>
          <w:szCs w:val="26"/>
          <w:lang w:val="uk-UA"/>
        </w:rPr>
        <w:t xml:space="preserve"> грн. (</w:t>
      </w:r>
      <w:r w:rsidR="003A5A09" w:rsidRPr="00253DDD">
        <w:rPr>
          <w:sz w:val="26"/>
          <w:szCs w:val="26"/>
          <w:lang w:val="uk-UA"/>
        </w:rPr>
        <w:t>98,9</w:t>
      </w:r>
      <w:r w:rsidRPr="00253DDD">
        <w:rPr>
          <w:sz w:val="26"/>
          <w:szCs w:val="26"/>
          <w:lang w:val="uk-UA"/>
        </w:rPr>
        <w:t xml:space="preserve">%), в тому числі: </w:t>
      </w:r>
      <w:r w:rsidR="008B008C" w:rsidRPr="00253DDD">
        <w:rPr>
          <w:sz w:val="26"/>
          <w:szCs w:val="26"/>
          <w:lang w:val="uk-UA"/>
        </w:rPr>
        <w:t>освітня субвенція з державного бюджету місцевим бюджетам заплановано і надійшло 1 079,0 тис.</w:t>
      </w:r>
      <w:r w:rsidR="008205DD" w:rsidRPr="00253DDD">
        <w:rPr>
          <w:sz w:val="26"/>
          <w:szCs w:val="26"/>
          <w:lang w:val="uk-UA"/>
        </w:rPr>
        <w:t xml:space="preserve"> </w:t>
      </w:r>
      <w:r w:rsidR="008B008C" w:rsidRPr="00253DDD">
        <w:rPr>
          <w:sz w:val="26"/>
          <w:szCs w:val="26"/>
          <w:lang w:val="uk-UA"/>
        </w:rPr>
        <w:t>грн.,</w:t>
      </w:r>
      <w:r w:rsidR="008205DD" w:rsidRPr="00253DDD">
        <w:rPr>
          <w:sz w:val="26"/>
          <w:szCs w:val="26"/>
          <w:lang w:val="uk-UA"/>
        </w:rPr>
        <w:t xml:space="preserve"> субвенція з державного бюджету місцевим бюджетам на надання державної підтримки особам з особливими освітніми потребами фактично надійшло 95,6</w:t>
      </w:r>
      <w:r w:rsidR="00CC3453" w:rsidRPr="00253DDD">
        <w:rPr>
          <w:sz w:val="26"/>
          <w:szCs w:val="26"/>
          <w:lang w:val="uk-UA"/>
        </w:rPr>
        <w:t xml:space="preserve"> тис. грн., що становить 100,0%, </w:t>
      </w:r>
    </w:p>
    <w:p w:rsidR="00D070DF" w:rsidRPr="00253DDD" w:rsidRDefault="00D070DF" w:rsidP="00CC3453">
      <w:pPr>
        <w:jc w:val="both"/>
        <w:rPr>
          <w:sz w:val="26"/>
          <w:szCs w:val="26"/>
          <w:lang w:val="uk-UA"/>
        </w:rPr>
      </w:pPr>
      <w:r w:rsidRPr="00253DDD">
        <w:rPr>
          <w:sz w:val="26"/>
          <w:szCs w:val="26"/>
          <w:lang w:val="uk-UA"/>
        </w:rPr>
        <w:t>субвенція з місцевого бюджету за рахунок залишку коштів освітньої субвенції, що утворився на початок бюджет</w:t>
      </w:r>
      <w:r w:rsidR="00CC3453" w:rsidRPr="00253DDD">
        <w:rPr>
          <w:sz w:val="26"/>
          <w:szCs w:val="26"/>
          <w:lang w:val="uk-UA"/>
        </w:rPr>
        <w:t>ного періоду заплановано 23,0</w:t>
      </w:r>
      <w:r w:rsidRPr="00253DDD">
        <w:rPr>
          <w:sz w:val="26"/>
          <w:szCs w:val="26"/>
          <w:lang w:val="uk-UA"/>
        </w:rPr>
        <w:t xml:space="preserve"> тис.</w:t>
      </w:r>
      <w:r w:rsidR="00CC3453" w:rsidRPr="00253DDD">
        <w:rPr>
          <w:sz w:val="26"/>
          <w:szCs w:val="26"/>
          <w:lang w:val="uk-UA"/>
        </w:rPr>
        <w:t xml:space="preserve"> </w:t>
      </w:r>
      <w:r w:rsidRPr="00253DDD">
        <w:rPr>
          <w:sz w:val="26"/>
          <w:szCs w:val="26"/>
          <w:lang w:val="uk-UA"/>
        </w:rPr>
        <w:t xml:space="preserve">грн., надійшло </w:t>
      </w:r>
      <w:r w:rsidR="00CC3453" w:rsidRPr="00253DDD">
        <w:rPr>
          <w:sz w:val="26"/>
          <w:szCs w:val="26"/>
          <w:lang w:val="uk-UA"/>
        </w:rPr>
        <w:t>23,0</w:t>
      </w:r>
      <w:r w:rsidRPr="00253DDD">
        <w:rPr>
          <w:sz w:val="26"/>
          <w:szCs w:val="26"/>
          <w:lang w:val="uk-UA"/>
        </w:rPr>
        <w:t xml:space="preserve"> тис.</w:t>
      </w:r>
      <w:r w:rsidR="00CC3453" w:rsidRPr="00253DDD">
        <w:rPr>
          <w:sz w:val="26"/>
          <w:szCs w:val="26"/>
          <w:lang w:val="uk-UA"/>
        </w:rPr>
        <w:t xml:space="preserve"> грн., </w:t>
      </w:r>
      <w:r w:rsidR="003F3A83" w:rsidRPr="00253DDD">
        <w:rPr>
          <w:sz w:val="26"/>
          <w:szCs w:val="26"/>
          <w:lang w:val="uk-UA"/>
        </w:rPr>
        <w:t>інші субвенції з місцевого бюджету при плані 1 746,0 тис. грн. фактично надійшло 1 713,0 тис. гривень.</w:t>
      </w:r>
    </w:p>
    <w:p w:rsidR="00D070DF" w:rsidRPr="00253DDD" w:rsidRDefault="00571555" w:rsidP="00D070DF">
      <w:pPr>
        <w:ind w:firstLine="708"/>
        <w:jc w:val="both"/>
        <w:rPr>
          <w:sz w:val="26"/>
          <w:szCs w:val="26"/>
          <w:lang w:val="uk-UA"/>
        </w:rPr>
      </w:pPr>
      <w:r w:rsidRPr="00253DDD">
        <w:rPr>
          <w:sz w:val="26"/>
          <w:szCs w:val="26"/>
          <w:lang w:val="uk-UA"/>
        </w:rPr>
        <w:t>У 2025</w:t>
      </w:r>
      <w:r w:rsidR="00D070DF" w:rsidRPr="00253DDD">
        <w:rPr>
          <w:sz w:val="26"/>
          <w:szCs w:val="26"/>
          <w:lang w:val="uk-UA"/>
        </w:rPr>
        <w:t xml:space="preserve"> році до міського бюджету Миколаївської громади для спільного утримання установ та підприємств надійшло з сусідніх громад трансфертів в сумі </w:t>
      </w:r>
      <w:r w:rsidR="00EE1A5E" w:rsidRPr="00253DDD">
        <w:rPr>
          <w:sz w:val="26"/>
          <w:szCs w:val="26"/>
          <w:lang w:val="uk-UA"/>
        </w:rPr>
        <w:t>5 2</w:t>
      </w:r>
      <w:r w:rsidR="00915619" w:rsidRPr="00253DDD">
        <w:rPr>
          <w:sz w:val="26"/>
          <w:szCs w:val="26"/>
          <w:lang w:val="uk-UA"/>
        </w:rPr>
        <w:t>93</w:t>
      </w:r>
      <w:r w:rsidR="00EE1A5E" w:rsidRPr="00253DDD">
        <w:rPr>
          <w:sz w:val="26"/>
          <w:szCs w:val="26"/>
          <w:lang w:val="uk-UA"/>
        </w:rPr>
        <w:t>,7</w:t>
      </w:r>
      <w:r w:rsidR="00D070DF" w:rsidRPr="00253DDD">
        <w:rPr>
          <w:sz w:val="26"/>
          <w:szCs w:val="26"/>
          <w:lang w:val="uk-UA"/>
        </w:rPr>
        <w:t xml:space="preserve"> тис.</w:t>
      </w:r>
      <w:r w:rsidRPr="00253DDD">
        <w:rPr>
          <w:sz w:val="26"/>
          <w:szCs w:val="26"/>
          <w:lang w:val="uk-UA"/>
        </w:rPr>
        <w:t xml:space="preserve"> </w:t>
      </w:r>
      <w:r w:rsidR="00D070DF" w:rsidRPr="00253DDD">
        <w:rPr>
          <w:sz w:val="26"/>
          <w:szCs w:val="26"/>
          <w:lang w:val="uk-UA"/>
        </w:rPr>
        <w:t xml:space="preserve">грн., в тому числі з бюджету </w:t>
      </w:r>
      <w:proofErr w:type="spellStart"/>
      <w:r w:rsidR="00D070DF" w:rsidRPr="00253DDD">
        <w:rPr>
          <w:sz w:val="26"/>
          <w:szCs w:val="26"/>
          <w:lang w:val="uk-UA"/>
        </w:rPr>
        <w:t>Розвадівської</w:t>
      </w:r>
      <w:proofErr w:type="spellEnd"/>
      <w:r w:rsidR="00D070DF" w:rsidRPr="00253DDD">
        <w:rPr>
          <w:sz w:val="26"/>
          <w:szCs w:val="26"/>
          <w:lang w:val="uk-UA"/>
        </w:rPr>
        <w:t xml:space="preserve"> сільської ради </w:t>
      </w:r>
      <w:r w:rsidR="00915619" w:rsidRPr="00253DDD">
        <w:rPr>
          <w:sz w:val="26"/>
          <w:szCs w:val="26"/>
          <w:lang w:val="uk-UA"/>
        </w:rPr>
        <w:t>3 139,0</w:t>
      </w:r>
      <w:r w:rsidR="00D070DF" w:rsidRPr="00253DDD">
        <w:rPr>
          <w:sz w:val="26"/>
          <w:szCs w:val="26"/>
          <w:lang w:val="uk-UA"/>
        </w:rPr>
        <w:t xml:space="preserve"> тис.</w:t>
      </w:r>
      <w:r w:rsidRPr="00253DDD">
        <w:rPr>
          <w:sz w:val="26"/>
          <w:szCs w:val="26"/>
          <w:lang w:val="uk-UA"/>
        </w:rPr>
        <w:t xml:space="preserve"> </w:t>
      </w:r>
      <w:r w:rsidR="00D070DF" w:rsidRPr="00253DDD">
        <w:rPr>
          <w:sz w:val="26"/>
          <w:szCs w:val="26"/>
          <w:lang w:val="uk-UA"/>
        </w:rPr>
        <w:t>грн. та з бюджету Тростянецької сільської</w:t>
      </w:r>
      <w:r w:rsidRPr="00253DDD">
        <w:rPr>
          <w:sz w:val="26"/>
          <w:szCs w:val="26"/>
          <w:lang w:val="uk-UA"/>
        </w:rPr>
        <w:t xml:space="preserve"> ради в сумі </w:t>
      </w:r>
      <w:r w:rsidR="00EE1A5E" w:rsidRPr="00253DDD">
        <w:rPr>
          <w:sz w:val="26"/>
          <w:szCs w:val="26"/>
          <w:lang w:val="uk-UA"/>
        </w:rPr>
        <w:t>2 154,7</w:t>
      </w:r>
      <w:r w:rsidR="00D070DF" w:rsidRPr="00253DDD">
        <w:rPr>
          <w:sz w:val="26"/>
          <w:szCs w:val="26"/>
          <w:lang w:val="uk-UA"/>
        </w:rPr>
        <w:t xml:space="preserve">  тис.</w:t>
      </w:r>
      <w:r w:rsidRPr="00253DDD">
        <w:rPr>
          <w:sz w:val="26"/>
          <w:szCs w:val="26"/>
          <w:lang w:val="uk-UA"/>
        </w:rPr>
        <w:t xml:space="preserve"> </w:t>
      </w:r>
      <w:r w:rsidR="00D070DF" w:rsidRPr="00253DDD">
        <w:rPr>
          <w:sz w:val="26"/>
          <w:szCs w:val="26"/>
          <w:lang w:val="uk-UA"/>
        </w:rPr>
        <w:t>грн. з них:</w:t>
      </w:r>
    </w:p>
    <w:p w:rsidR="00D070DF" w:rsidRPr="00253DDD" w:rsidRDefault="00D070DF" w:rsidP="00D070DF">
      <w:pPr>
        <w:numPr>
          <w:ilvl w:val="0"/>
          <w:numId w:val="4"/>
        </w:numPr>
        <w:jc w:val="both"/>
        <w:rPr>
          <w:sz w:val="26"/>
          <w:szCs w:val="26"/>
          <w:lang w:val="uk-UA"/>
        </w:rPr>
      </w:pPr>
      <w:r w:rsidRPr="00253DDD">
        <w:rPr>
          <w:sz w:val="26"/>
          <w:szCs w:val="26"/>
          <w:lang w:val="uk-UA"/>
        </w:rPr>
        <w:t>послуги за навчання дітей в дитячій</w:t>
      </w:r>
      <w:r w:rsidR="00157E85" w:rsidRPr="00253DDD">
        <w:rPr>
          <w:sz w:val="26"/>
          <w:szCs w:val="26"/>
          <w:lang w:val="uk-UA"/>
        </w:rPr>
        <w:t xml:space="preserve"> школі мистецтв         </w:t>
      </w:r>
      <w:r w:rsidR="00F27898" w:rsidRPr="00253DDD">
        <w:rPr>
          <w:sz w:val="26"/>
          <w:szCs w:val="26"/>
          <w:lang w:val="uk-UA"/>
        </w:rPr>
        <w:t xml:space="preserve">  - 2</w:t>
      </w:r>
      <w:r w:rsidR="00370D12" w:rsidRPr="00253DDD">
        <w:rPr>
          <w:sz w:val="26"/>
          <w:szCs w:val="26"/>
          <w:lang w:val="uk-UA"/>
        </w:rPr>
        <w:t> 129</w:t>
      </w:r>
      <w:r w:rsidR="00F27898" w:rsidRPr="00253DDD">
        <w:rPr>
          <w:sz w:val="26"/>
          <w:szCs w:val="26"/>
          <w:lang w:val="uk-UA"/>
        </w:rPr>
        <w:t>,1</w:t>
      </w:r>
      <w:r w:rsidRPr="00253DDD">
        <w:rPr>
          <w:sz w:val="26"/>
          <w:szCs w:val="26"/>
          <w:lang w:val="uk-UA"/>
        </w:rPr>
        <w:t xml:space="preserve">  </w:t>
      </w:r>
      <w:proofErr w:type="spellStart"/>
      <w:r w:rsidRPr="00253DDD">
        <w:rPr>
          <w:sz w:val="26"/>
          <w:szCs w:val="26"/>
          <w:lang w:val="uk-UA"/>
        </w:rPr>
        <w:t>тис.грн</w:t>
      </w:r>
      <w:proofErr w:type="spellEnd"/>
      <w:r w:rsidRPr="00253DDD">
        <w:rPr>
          <w:sz w:val="26"/>
          <w:szCs w:val="26"/>
          <w:lang w:val="uk-UA"/>
        </w:rPr>
        <w:t>.;</w:t>
      </w:r>
    </w:p>
    <w:p w:rsidR="00D070DF" w:rsidRPr="00253DDD" w:rsidRDefault="00D070DF" w:rsidP="00D070DF">
      <w:pPr>
        <w:numPr>
          <w:ilvl w:val="0"/>
          <w:numId w:val="4"/>
        </w:numPr>
        <w:jc w:val="both"/>
        <w:rPr>
          <w:sz w:val="26"/>
          <w:szCs w:val="26"/>
          <w:lang w:val="uk-UA"/>
        </w:rPr>
      </w:pPr>
      <w:r w:rsidRPr="00253DDD">
        <w:rPr>
          <w:sz w:val="26"/>
          <w:szCs w:val="26"/>
          <w:lang w:val="uk-UA"/>
        </w:rPr>
        <w:t>послуги надані центром надання соціаль</w:t>
      </w:r>
      <w:r w:rsidR="00157E85" w:rsidRPr="00253DDD">
        <w:rPr>
          <w:sz w:val="26"/>
          <w:szCs w:val="26"/>
          <w:lang w:val="uk-UA"/>
        </w:rPr>
        <w:t xml:space="preserve">них послуг            </w:t>
      </w:r>
      <w:r w:rsidRPr="00253DDD">
        <w:rPr>
          <w:sz w:val="26"/>
          <w:szCs w:val="26"/>
          <w:lang w:val="uk-UA"/>
        </w:rPr>
        <w:t xml:space="preserve"> - </w:t>
      </w:r>
      <w:r w:rsidR="00F27898" w:rsidRPr="00253DDD">
        <w:rPr>
          <w:sz w:val="26"/>
          <w:szCs w:val="26"/>
          <w:lang w:val="uk-UA"/>
        </w:rPr>
        <w:t>1 944,5</w:t>
      </w:r>
      <w:r w:rsidRPr="00253DDD">
        <w:rPr>
          <w:sz w:val="26"/>
          <w:szCs w:val="26"/>
          <w:lang w:val="uk-UA"/>
        </w:rPr>
        <w:t xml:space="preserve">  </w:t>
      </w:r>
      <w:proofErr w:type="spellStart"/>
      <w:r w:rsidRPr="00253DDD">
        <w:rPr>
          <w:sz w:val="26"/>
          <w:szCs w:val="26"/>
          <w:lang w:val="uk-UA"/>
        </w:rPr>
        <w:t>тис.грн</w:t>
      </w:r>
      <w:proofErr w:type="spellEnd"/>
      <w:r w:rsidRPr="00253DDD">
        <w:rPr>
          <w:sz w:val="26"/>
          <w:szCs w:val="26"/>
          <w:lang w:val="uk-UA"/>
        </w:rPr>
        <w:t>.;</w:t>
      </w:r>
    </w:p>
    <w:p w:rsidR="00D070DF" w:rsidRPr="00253DDD" w:rsidRDefault="00D070DF" w:rsidP="00D070DF">
      <w:pPr>
        <w:numPr>
          <w:ilvl w:val="0"/>
          <w:numId w:val="4"/>
        </w:numPr>
        <w:jc w:val="both"/>
        <w:rPr>
          <w:sz w:val="26"/>
          <w:szCs w:val="26"/>
          <w:lang w:val="uk-UA"/>
        </w:rPr>
      </w:pPr>
      <w:r w:rsidRPr="00253DDD">
        <w:rPr>
          <w:sz w:val="26"/>
          <w:szCs w:val="26"/>
          <w:lang w:val="uk-UA"/>
        </w:rPr>
        <w:t>послуги отримані в інклюзивно-ресурсному центрі</w:t>
      </w:r>
      <w:r w:rsidR="00157E85" w:rsidRPr="00253DDD">
        <w:rPr>
          <w:sz w:val="26"/>
          <w:szCs w:val="26"/>
          <w:lang w:val="uk-UA"/>
        </w:rPr>
        <w:t xml:space="preserve">              </w:t>
      </w:r>
      <w:r w:rsidR="00F27898" w:rsidRPr="00253DDD">
        <w:rPr>
          <w:sz w:val="26"/>
          <w:szCs w:val="26"/>
          <w:lang w:val="uk-UA"/>
        </w:rPr>
        <w:t xml:space="preserve"> -     </w:t>
      </w:r>
      <w:r w:rsidR="002F6B6E" w:rsidRPr="00253DDD">
        <w:rPr>
          <w:sz w:val="26"/>
          <w:szCs w:val="26"/>
          <w:lang w:val="uk-UA"/>
        </w:rPr>
        <w:t>61</w:t>
      </w:r>
      <w:r w:rsidR="00F27898" w:rsidRPr="00253DDD">
        <w:rPr>
          <w:sz w:val="26"/>
          <w:szCs w:val="26"/>
          <w:lang w:val="uk-UA"/>
        </w:rPr>
        <w:t xml:space="preserve">,6 </w:t>
      </w:r>
      <w:r w:rsidRPr="00253DDD">
        <w:rPr>
          <w:sz w:val="26"/>
          <w:szCs w:val="26"/>
          <w:lang w:val="uk-UA"/>
        </w:rPr>
        <w:t xml:space="preserve"> </w:t>
      </w:r>
      <w:proofErr w:type="spellStart"/>
      <w:r w:rsidRPr="00253DDD">
        <w:rPr>
          <w:sz w:val="26"/>
          <w:szCs w:val="26"/>
          <w:lang w:val="uk-UA"/>
        </w:rPr>
        <w:t>тис.грн</w:t>
      </w:r>
      <w:proofErr w:type="spellEnd"/>
      <w:r w:rsidRPr="00253DDD">
        <w:rPr>
          <w:sz w:val="26"/>
          <w:szCs w:val="26"/>
          <w:lang w:val="uk-UA"/>
        </w:rPr>
        <w:t>.;</w:t>
      </w:r>
    </w:p>
    <w:p w:rsidR="00D070DF" w:rsidRPr="00253DDD" w:rsidRDefault="00D070DF" w:rsidP="00D070DF">
      <w:pPr>
        <w:numPr>
          <w:ilvl w:val="0"/>
          <w:numId w:val="4"/>
        </w:numPr>
        <w:jc w:val="both"/>
        <w:rPr>
          <w:sz w:val="26"/>
          <w:szCs w:val="26"/>
          <w:lang w:val="uk-UA"/>
        </w:rPr>
      </w:pPr>
      <w:r w:rsidRPr="00253DDD">
        <w:rPr>
          <w:sz w:val="26"/>
          <w:szCs w:val="26"/>
          <w:lang w:val="uk-UA"/>
        </w:rPr>
        <w:t xml:space="preserve">послуги за відвідування дітей  ДЮСШ               </w:t>
      </w:r>
      <w:r w:rsidR="00157E85" w:rsidRPr="00253DDD">
        <w:rPr>
          <w:sz w:val="26"/>
          <w:szCs w:val="26"/>
          <w:lang w:val="uk-UA"/>
        </w:rPr>
        <w:t xml:space="preserve">                     </w:t>
      </w:r>
      <w:r w:rsidRPr="00253DDD">
        <w:rPr>
          <w:sz w:val="26"/>
          <w:szCs w:val="26"/>
          <w:lang w:val="uk-UA"/>
        </w:rPr>
        <w:t xml:space="preserve">-  </w:t>
      </w:r>
      <w:r w:rsidR="00F27898" w:rsidRPr="00253DDD">
        <w:rPr>
          <w:sz w:val="26"/>
          <w:szCs w:val="26"/>
          <w:lang w:val="uk-UA"/>
        </w:rPr>
        <w:t xml:space="preserve"> 238,5</w:t>
      </w:r>
      <w:r w:rsidRPr="00253DDD">
        <w:rPr>
          <w:sz w:val="26"/>
          <w:szCs w:val="26"/>
          <w:lang w:val="uk-UA"/>
        </w:rPr>
        <w:t xml:space="preserve">  </w:t>
      </w:r>
      <w:proofErr w:type="spellStart"/>
      <w:r w:rsidRPr="00253DDD">
        <w:rPr>
          <w:sz w:val="26"/>
          <w:szCs w:val="26"/>
          <w:lang w:val="uk-UA"/>
        </w:rPr>
        <w:t>тис.грн</w:t>
      </w:r>
      <w:proofErr w:type="spellEnd"/>
      <w:r w:rsidRPr="00253DDD">
        <w:rPr>
          <w:sz w:val="26"/>
          <w:szCs w:val="26"/>
          <w:lang w:val="uk-UA"/>
        </w:rPr>
        <w:t>.</w:t>
      </w:r>
      <w:r w:rsidR="00EE1A5E" w:rsidRPr="00253DDD">
        <w:rPr>
          <w:sz w:val="26"/>
          <w:szCs w:val="26"/>
          <w:lang w:val="uk-UA"/>
        </w:rPr>
        <w:t>;</w:t>
      </w:r>
    </w:p>
    <w:p w:rsidR="00EE1A5E" w:rsidRPr="00253DDD" w:rsidRDefault="00EE1A5E" w:rsidP="00D070DF">
      <w:pPr>
        <w:numPr>
          <w:ilvl w:val="0"/>
          <w:numId w:val="4"/>
        </w:numPr>
        <w:jc w:val="both"/>
        <w:rPr>
          <w:sz w:val="26"/>
          <w:szCs w:val="26"/>
          <w:lang w:val="uk-UA"/>
        </w:rPr>
      </w:pPr>
      <w:r w:rsidRPr="00253DDD">
        <w:rPr>
          <w:sz w:val="26"/>
          <w:szCs w:val="26"/>
          <w:lang w:val="uk-UA"/>
        </w:rPr>
        <w:t xml:space="preserve"> виконання програми розвитку</w:t>
      </w:r>
    </w:p>
    <w:p w:rsidR="00EE1A5E" w:rsidRPr="00253DDD" w:rsidRDefault="00EE1A5E" w:rsidP="00EE1A5E">
      <w:pPr>
        <w:ind w:left="720"/>
        <w:jc w:val="both"/>
        <w:rPr>
          <w:sz w:val="26"/>
          <w:szCs w:val="26"/>
          <w:lang w:val="uk-UA"/>
        </w:rPr>
      </w:pPr>
      <w:r w:rsidRPr="00253DDD">
        <w:rPr>
          <w:sz w:val="26"/>
          <w:szCs w:val="26"/>
          <w:lang w:val="uk-UA"/>
        </w:rPr>
        <w:t xml:space="preserve"> водопровідно-каналізаційного господарства </w:t>
      </w:r>
    </w:p>
    <w:p w:rsidR="00EE1A5E" w:rsidRPr="00253DDD" w:rsidRDefault="00EE1A5E" w:rsidP="00EE1A5E">
      <w:pPr>
        <w:ind w:left="720"/>
        <w:jc w:val="both"/>
        <w:rPr>
          <w:sz w:val="26"/>
          <w:szCs w:val="26"/>
          <w:lang w:val="uk-UA"/>
        </w:rPr>
      </w:pPr>
      <w:r w:rsidRPr="00253DDD">
        <w:rPr>
          <w:sz w:val="26"/>
          <w:szCs w:val="26"/>
          <w:lang w:val="uk-UA"/>
        </w:rPr>
        <w:t xml:space="preserve">Миколаївської міської ради на 2024-2026 </w:t>
      </w:r>
      <w:proofErr w:type="spellStart"/>
      <w:r w:rsidRPr="00253DDD">
        <w:rPr>
          <w:sz w:val="26"/>
          <w:szCs w:val="26"/>
          <w:lang w:val="uk-UA"/>
        </w:rPr>
        <w:t>р.р</w:t>
      </w:r>
      <w:proofErr w:type="spellEnd"/>
      <w:r w:rsidRPr="00253DDD">
        <w:rPr>
          <w:sz w:val="26"/>
          <w:szCs w:val="26"/>
          <w:lang w:val="uk-UA"/>
        </w:rPr>
        <w:t xml:space="preserve">.   </w:t>
      </w:r>
      <w:r w:rsidR="00157E85" w:rsidRPr="00253DDD">
        <w:rPr>
          <w:sz w:val="26"/>
          <w:szCs w:val="26"/>
          <w:lang w:val="uk-UA"/>
        </w:rPr>
        <w:t xml:space="preserve">                      - </w:t>
      </w:r>
      <w:r w:rsidRPr="00253DDD">
        <w:rPr>
          <w:sz w:val="26"/>
          <w:szCs w:val="26"/>
          <w:lang w:val="uk-UA"/>
        </w:rPr>
        <w:t xml:space="preserve">  220,0  </w:t>
      </w:r>
      <w:proofErr w:type="spellStart"/>
      <w:r w:rsidRPr="00253DDD">
        <w:rPr>
          <w:sz w:val="26"/>
          <w:szCs w:val="26"/>
          <w:lang w:val="uk-UA"/>
        </w:rPr>
        <w:t>тис.грн</w:t>
      </w:r>
      <w:proofErr w:type="spellEnd"/>
      <w:r w:rsidRPr="00253DDD">
        <w:rPr>
          <w:sz w:val="26"/>
          <w:szCs w:val="26"/>
          <w:lang w:val="uk-UA"/>
        </w:rPr>
        <w:t>.;</w:t>
      </w:r>
    </w:p>
    <w:p w:rsidR="00EE1A5E" w:rsidRPr="00253DDD" w:rsidRDefault="00EE1A5E" w:rsidP="00D070DF">
      <w:pPr>
        <w:numPr>
          <w:ilvl w:val="0"/>
          <w:numId w:val="4"/>
        </w:numPr>
        <w:jc w:val="both"/>
        <w:rPr>
          <w:sz w:val="26"/>
          <w:szCs w:val="26"/>
          <w:lang w:val="uk-UA"/>
        </w:rPr>
      </w:pPr>
      <w:r w:rsidRPr="00253DDD">
        <w:rPr>
          <w:sz w:val="26"/>
          <w:szCs w:val="26"/>
          <w:lang w:val="uk-UA"/>
        </w:rPr>
        <w:t>капітальний ремонт анестезіологічного відділення</w:t>
      </w:r>
    </w:p>
    <w:p w:rsidR="00EE1A5E" w:rsidRPr="00253DDD" w:rsidRDefault="00EE1A5E" w:rsidP="00EE1A5E">
      <w:pPr>
        <w:ind w:left="720"/>
        <w:jc w:val="both"/>
        <w:rPr>
          <w:sz w:val="26"/>
          <w:szCs w:val="26"/>
          <w:lang w:val="uk-UA"/>
        </w:rPr>
      </w:pPr>
      <w:r w:rsidRPr="00253DDD">
        <w:rPr>
          <w:sz w:val="26"/>
          <w:szCs w:val="26"/>
          <w:lang w:val="uk-UA"/>
        </w:rPr>
        <w:t xml:space="preserve">КНП «Миколаївська МЛ»                                     </w:t>
      </w:r>
      <w:r w:rsidR="00157E85" w:rsidRPr="00253DDD">
        <w:rPr>
          <w:sz w:val="26"/>
          <w:szCs w:val="26"/>
          <w:lang w:val="uk-UA"/>
        </w:rPr>
        <w:t xml:space="preserve">                      </w:t>
      </w:r>
      <w:r w:rsidRPr="00253DDD">
        <w:rPr>
          <w:sz w:val="26"/>
          <w:szCs w:val="26"/>
          <w:lang w:val="uk-UA"/>
        </w:rPr>
        <w:t xml:space="preserve"> -  300,0 </w:t>
      </w:r>
      <w:proofErr w:type="spellStart"/>
      <w:r w:rsidRPr="00253DDD">
        <w:rPr>
          <w:sz w:val="26"/>
          <w:szCs w:val="26"/>
          <w:lang w:val="uk-UA"/>
        </w:rPr>
        <w:t>тис.грн</w:t>
      </w:r>
      <w:proofErr w:type="spellEnd"/>
      <w:r w:rsidRPr="00253DDD">
        <w:rPr>
          <w:sz w:val="26"/>
          <w:szCs w:val="26"/>
          <w:lang w:val="uk-UA"/>
        </w:rPr>
        <w:t>.;</w:t>
      </w:r>
    </w:p>
    <w:p w:rsidR="002F6B6E" w:rsidRPr="00253DDD" w:rsidRDefault="00EE1A5E" w:rsidP="00EE1A5E">
      <w:pPr>
        <w:jc w:val="both"/>
        <w:rPr>
          <w:sz w:val="26"/>
          <w:szCs w:val="26"/>
          <w:lang w:val="uk-UA"/>
        </w:rPr>
      </w:pPr>
      <w:r w:rsidRPr="00253DDD">
        <w:rPr>
          <w:sz w:val="26"/>
          <w:szCs w:val="26"/>
          <w:lang w:val="uk-UA"/>
        </w:rPr>
        <w:t xml:space="preserve">       -    </w:t>
      </w:r>
      <w:r w:rsidR="004455A4" w:rsidRPr="00253DDD">
        <w:rPr>
          <w:sz w:val="26"/>
          <w:szCs w:val="26"/>
          <w:lang w:val="uk-UA"/>
        </w:rPr>
        <w:t>капітальний ремонт допоміжних приміщень</w:t>
      </w:r>
    </w:p>
    <w:p w:rsidR="00EE1A5E" w:rsidRPr="00253DDD" w:rsidRDefault="004455A4" w:rsidP="00EE1A5E">
      <w:pPr>
        <w:jc w:val="both"/>
        <w:rPr>
          <w:sz w:val="26"/>
          <w:szCs w:val="26"/>
          <w:lang w:val="uk-UA"/>
        </w:rPr>
      </w:pPr>
      <w:r w:rsidRPr="00253DDD">
        <w:rPr>
          <w:sz w:val="26"/>
          <w:szCs w:val="26"/>
          <w:lang w:val="uk-UA"/>
        </w:rPr>
        <w:t xml:space="preserve"> </w:t>
      </w:r>
      <w:r w:rsidR="002F6B6E" w:rsidRPr="00253DDD">
        <w:rPr>
          <w:sz w:val="26"/>
          <w:szCs w:val="26"/>
          <w:lang w:val="uk-UA"/>
        </w:rPr>
        <w:t xml:space="preserve">           анестезіологічного відділення та коридору</w:t>
      </w:r>
    </w:p>
    <w:p w:rsidR="004455A4" w:rsidRPr="00253DDD" w:rsidRDefault="004455A4" w:rsidP="00EE1A5E">
      <w:pPr>
        <w:jc w:val="both"/>
        <w:rPr>
          <w:sz w:val="26"/>
          <w:szCs w:val="26"/>
          <w:lang w:val="uk-UA"/>
        </w:rPr>
      </w:pPr>
      <w:r w:rsidRPr="00253DDD">
        <w:rPr>
          <w:sz w:val="26"/>
          <w:szCs w:val="26"/>
          <w:lang w:val="uk-UA"/>
        </w:rPr>
        <w:t xml:space="preserve">            КНП «Миколаївська МЛ»                                     </w:t>
      </w:r>
      <w:r w:rsidR="00157E85" w:rsidRPr="00253DDD">
        <w:rPr>
          <w:sz w:val="26"/>
          <w:szCs w:val="26"/>
          <w:lang w:val="uk-UA"/>
        </w:rPr>
        <w:t xml:space="preserve">                      </w:t>
      </w:r>
      <w:r w:rsidRPr="00253DDD">
        <w:rPr>
          <w:sz w:val="26"/>
          <w:szCs w:val="26"/>
          <w:lang w:val="uk-UA"/>
        </w:rPr>
        <w:t xml:space="preserve"> -  400,0 </w:t>
      </w:r>
      <w:proofErr w:type="spellStart"/>
      <w:r w:rsidRPr="00253DDD">
        <w:rPr>
          <w:sz w:val="26"/>
          <w:szCs w:val="26"/>
          <w:lang w:val="uk-UA"/>
        </w:rPr>
        <w:t>тис.грн</w:t>
      </w:r>
      <w:proofErr w:type="spellEnd"/>
      <w:r w:rsidRPr="00253DDD">
        <w:rPr>
          <w:sz w:val="26"/>
          <w:szCs w:val="26"/>
          <w:lang w:val="uk-UA"/>
        </w:rPr>
        <w:t>.</w:t>
      </w:r>
    </w:p>
    <w:p w:rsidR="00AD5601" w:rsidRPr="00253DDD" w:rsidRDefault="00D070DF" w:rsidP="002F1E55">
      <w:pPr>
        <w:ind w:left="-142" w:firstLine="502"/>
        <w:jc w:val="both"/>
        <w:rPr>
          <w:bCs/>
          <w:color w:val="000000"/>
          <w:sz w:val="26"/>
          <w:szCs w:val="26"/>
          <w:lang w:val="uk-UA"/>
        </w:rPr>
      </w:pPr>
      <w:r w:rsidRPr="00253DDD">
        <w:rPr>
          <w:sz w:val="26"/>
          <w:szCs w:val="26"/>
          <w:lang w:val="uk-UA"/>
        </w:rPr>
        <w:t>Крім цього, з обласного бюджету отримано субвенції</w:t>
      </w:r>
      <w:r w:rsidR="004D7257" w:rsidRPr="00253DDD">
        <w:rPr>
          <w:sz w:val="26"/>
          <w:szCs w:val="26"/>
          <w:lang w:val="uk-UA"/>
        </w:rPr>
        <w:t>: по загальному фонду -</w:t>
      </w:r>
      <w:r w:rsidRPr="00253DDD">
        <w:rPr>
          <w:sz w:val="26"/>
          <w:szCs w:val="26"/>
          <w:lang w:val="uk-UA"/>
        </w:rPr>
        <w:t xml:space="preserve"> </w:t>
      </w:r>
      <w:r w:rsidRPr="00253DDD">
        <w:rPr>
          <w:bCs/>
          <w:sz w:val="26"/>
          <w:szCs w:val="26"/>
          <w:lang w:val="uk-UA"/>
        </w:rPr>
        <w:t xml:space="preserve">на </w:t>
      </w:r>
      <w:r w:rsidR="006B1AE1" w:rsidRPr="00253DDD">
        <w:rPr>
          <w:bCs/>
          <w:sz w:val="26"/>
          <w:szCs w:val="26"/>
          <w:lang w:val="uk-UA"/>
        </w:rPr>
        <w:t>придбання житла дітям-сиротам</w:t>
      </w:r>
      <w:r w:rsidRPr="00253DDD">
        <w:rPr>
          <w:bCs/>
          <w:sz w:val="26"/>
          <w:szCs w:val="26"/>
          <w:lang w:val="uk-UA"/>
        </w:rPr>
        <w:t xml:space="preserve"> в сумі 500,0 тис.</w:t>
      </w:r>
      <w:r w:rsidR="008B7FDD" w:rsidRPr="00253DDD">
        <w:rPr>
          <w:bCs/>
          <w:sz w:val="26"/>
          <w:szCs w:val="26"/>
          <w:lang w:val="uk-UA"/>
        </w:rPr>
        <w:t xml:space="preserve"> </w:t>
      </w:r>
      <w:r w:rsidRPr="00253DDD">
        <w:rPr>
          <w:bCs/>
          <w:sz w:val="26"/>
          <w:szCs w:val="26"/>
          <w:lang w:val="uk-UA"/>
        </w:rPr>
        <w:t xml:space="preserve">грн.,  </w:t>
      </w:r>
      <w:r w:rsidRPr="00253DDD">
        <w:rPr>
          <w:sz w:val="26"/>
          <w:szCs w:val="26"/>
          <w:lang w:val="uk-UA"/>
        </w:rPr>
        <w:t>на виконання комплексної програми «Безпе</w:t>
      </w:r>
      <w:r w:rsidR="008B7FDD" w:rsidRPr="00253DDD">
        <w:rPr>
          <w:sz w:val="26"/>
          <w:szCs w:val="26"/>
          <w:lang w:val="uk-UA"/>
        </w:rPr>
        <w:t xml:space="preserve">чна Львівщина»  </w:t>
      </w:r>
      <w:r w:rsidR="008B7FDD" w:rsidRPr="00253DDD">
        <w:rPr>
          <w:bCs/>
          <w:color w:val="000000"/>
          <w:sz w:val="26"/>
          <w:szCs w:val="26"/>
          <w:lang w:val="uk-UA"/>
        </w:rPr>
        <w:t>в сумі 325,6 тис. грн</w:t>
      </w:r>
      <w:r w:rsidRPr="00253DDD">
        <w:rPr>
          <w:bCs/>
          <w:color w:val="000000"/>
          <w:sz w:val="26"/>
          <w:szCs w:val="26"/>
          <w:lang w:val="uk-UA"/>
        </w:rPr>
        <w:t xml:space="preserve">. </w:t>
      </w:r>
      <w:r w:rsidR="008B7FDD" w:rsidRPr="00253DDD">
        <w:rPr>
          <w:bCs/>
          <w:color w:val="000000"/>
          <w:sz w:val="26"/>
          <w:szCs w:val="26"/>
          <w:lang w:val="uk-UA"/>
        </w:rPr>
        <w:t>(</w:t>
      </w:r>
      <w:r w:rsidR="00EF023E" w:rsidRPr="00253DDD">
        <w:rPr>
          <w:bCs/>
          <w:color w:val="000000"/>
          <w:sz w:val="26"/>
          <w:szCs w:val="26"/>
          <w:lang w:val="uk-UA"/>
        </w:rPr>
        <w:t>для придбання та</w:t>
      </w:r>
      <w:r w:rsidR="008B7FDD" w:rsidRPr="00253DDD">
        <w:rPr>
          <w:bCs/>
          <w:color w:val="000000"/>
          <w:sz w:val="26"/>
          <w:szCs w:val="26"/>
          <w:lang w:val="uk-UA"/>
        </w:rPr>
        <w:t xml:space="preserve"> встановлення обладнання систем оповіщення – 170,6 тис. грн., для закупівлі майна та обладнання </w:t>
      </w:r>
      <w:r w:rsidR="00C224EB" w:rsidRPr="00253DDD">
        <w:rPr>
          <w:bCs/>
          <w:color w:val="000000"/>
          <w:sz w:val="26"/>
          <w:szCs w:val="26"/>
          <w:lang w:val="uk-UA"/>
        </w:rPr>
        <w:t>пожежно-рятувальним підрозділам Миколаївської ТГ</w:t>
      </w:r>
      <w:r w:rsidR="006618F3" w:rsidRPr="00253DDD">
        <w:rPr>
          <w:bCs/>
          <w:color w:val="000000"/>
          <w:sz w:val="26"/>
          <w:szCs w:val="26"/>
          <w:lang w:val="uk-UA"/>
        </w:rPr>
        <w:t xml:space="preserve"> – 155,0 тис. </w:t>
      </w:r>
      <w:r w:rsidR="006618F3" w:rsidRPr="00253DDD">
        <w:rPr>
          <w:bCs/>
          <w:color w:val="000000"/>
          <w:sz w:val="26"/>
          <w:szCs w:val="26"/>
          <w:lang w:val="uk-UA"/>
        </w:rPr>
        <w:lastRenderedPageBreak/>
        <w:t>грн.</w:t>
      </w:r>
      <w:r w:rsidR="008B7FDD" w:rsidRPr="00253DDD">
        <w:rPr>
          <w:bCs/>
          <w:color w:val="000000"/>
          <w:sz w:val="26"/>
          <w:szCs w:val="26"/>
          <w:lang w:val="uk-UA"/>
        </w:rPr>
        <w:t>)</w:t>
      </w:r>
      <w:r w:rsidR="00AD5601" w:rsidRPr="00253DDD">
        <w:rPr>
          <w:bCs/>
          <w:color w:val="000000"/>
          <w:sz w:val="26"/>
          <w:szCs w:val="26"/>
          <w:lang w:val="uk-UA"/>
        </w:rPr>
        <w:t xml:space="preserve">, на створення відділу </w:t>
      </w:r>
      <w:r w:rsidR="00A3228D" w:rsidRPr="00253DDD">
        <w:rPr>
          <w:bCs/>
          <w:color w:val="000000"/>
          <w:sz w:val="26"/>
          <w:szCs w:val="26"/>
          <w:lang w:val="uk-UA"/>
        </w:rPr>
        <w:t>стаціонарного догляду для осіб похилого віку та повнолітніх осіб з інвалідністю</w:t>
      </w:r>
      <w:r w:rsidR="00AD5601" w:rsidRPr="00253DDD">
        <w:rPr>
          <w:bCs/>
          <w:color w:val="000000"/>
          <w:sz w:val="26"/>
          <w:szCs w:val="26"/>
          <w:lang w:val="uk-UA"/>
        </w:rPr>
        <w:t xml:space="preserve"> в сумі 4 957,</w:t>
      </w:r>
      <w:r w:rsidR="004D7257" w:rsidRPr="00253DDD">
        <w:rPr>
          <w:bCs/>
          <w:color w:val="000000"/>
          <w:sz w:val="26"/>
          <w:szCs w:val="26"/>
          <w:lang w:val="uk-UA"/>
        </w:rPr>
        <w:t xml:space="preserve">3 тис. грн.; по спеціальному фонду </w:t>
      </w:r>
      <w:r w:rsidR="00902ABB" w:rsidRPr="00253DDD">
        <w:rPr>
          <w:bCs/>
          <w:color w:val="000000"/>
          <w:sz w:val="26"/>
          <w:szCs w:val="26"/>
          <w:lang w:val="uk-UA"/>
        </w:rPr>
        <w:t>– на</w:t>
      </w:r>
      <w:r w:rsidR="004D7257" w:rsidRPr="00253DDD">
        <w:rPr>
          <w:bCs/>
          <w:color w:val="000000"/>
          <w:sz w:val="26"/>
          <w:szCs w:val="26"/>
          <w:lang w:val="uk-UA"/>
        </w:rPr>
        <w:t xml:space="preserve"> </w:t>
      </w:r>
      <w:r w:rsidR="00902ABB" w:rsidRPr="00253DDD">
        <w:rPr>
          <w:bCs/>
          <w:color w:val="000000"/>
          <w:sz w:val="26"/>
          <w:szCs w:val="26"/>
          <w:lang w:val="uk-UA"/>
        </w:rPr>
        <w:t xml:space="preserve">капітальний ремонт частини покриття площадки та сходів Миколаївської ЗЗСО </w:t>
      </w:r>
      <w:r w:rsidR="00902ABB" w:rsidRPr="00253DDD">
        <w:rPr>
          <w:bCs/>
          <w:color w:val="000000"/>
          <w:sz w:val="26"/>
          <w:szCs w:val="26"/>
          <w:lang w:val="en-US"/>
        </w:rPr>
        <w:t>I</w:t>
      </w:r>
      <w:r w:rsidR="00902ABB" w:rsidRPr="00253DDD">
        <w:rPr>
          <w:bCs/>
          <w:color w:val="000000"/>
          <w:sz w:val="26"/>
          <w:szCs w:val="26"/>
          <w:lang w:val="uk-UA"/>
        </w:rPr>
        <w:t>-</w:t>
      </w:r>
      <w:r w:rsidR="00902ABB" w:rsidRPr="00253DDD">
        <w:rPr>
          <w:bCs/>
          <w:color w:val="000000"/>
          <w:sz w:val="26"/>
          <w:szCs w:val="26"/>
          <w:lang w:val="en-US"/>
        </w:rPr>
        <w:t>III</w:t>
      </w:r>
      <w:r w:rsidR="00902ABB" w:rsidRPr="00253DDD">
        <w:rPr>
          <w:bCs/>
          <w:color w:val="000000"/>
          <w:sz w:val="26"/>
          <w:szCs w:val="26"/>
          <w:lang w:val="uk-UA"/>
        </w:rPr>
        <w:t xml:space="preserve"> ст. №2 в сумі 793,0 тис. гривень.</w:t>
      </w:r>
    </w:p>
    <w:p w:rsidR="002D7CDF" w:rsidRPr="00253DDD" w:rsidRDefault="002F1E55" w:rsidP="00D070DF">
      <w:pPr>
        <w:ind w:firstLine="708"/>
        <w:jc w:val="both"/>
        <w:rPr>
          <w:sz w:val="26"/>
          <w:szCs w:val="26"/>
          <w:lang w:val="uk-UA"/>
        </w:rPr>
      </w:pPr>
      <w:r w:rsidRPr="00253DDD">
        <w:rPr>
          <w:sz w:val="26"/>
          <w:szCs w:val="26"/>
          <w:lang w:val="uk-UA"/>
        </w:rPr>
        <w:t>У 2025</w:t>
      </w:r>
      <w:r w:rsidR="00D070DF" w:rsidRPr="00253DDD">
        <w:rPr>
          <w:sz w:val="26"/>
          <w:szCs w:val="26"/>
          <w:lang w:val="uk-UA"/>
        </w:rPr>
        <w:t xml:space="preserve"> році з міського бюджету по загальному фонду</w:t>
      </w:r>
      <w:r w:rsidR="00F12C9E" w:rsidRPr="00253DDD">
        <w:rPr>
          <w:sz w:val="26"/>
          <w:szCs w:val="26"/>
          <w:lang w:val="uk-UA"/>
        </w:rPr>
        <w:t xml:space="preserve"> надано субвенцію </w:t>
      </w:r>
      <w:r w:rsidR="00D070DF" w:rsidRPr="00253DDD">
        <w:rPr>
          <w:sz w:val="26"/>
          <w:szCs w:val="26"/>
          <w:lang w:val="uk-UA"/>
        </w:rPr>
        <w:t xml:space="preserve">у </w:t>
      </w:r>
      <w:r w:rsidR="00850B71" w:rsidRPr="00253DDD">
        <w:rPr>
          <w:sz w:val="26"/>
          <w:szCs w:val="26"/>
          <w:lang w:val="uk-UA"/>
        </w:rPr>
        <w:t>районний бюджет Самбірського району</w:t>
      </w:r>
      <w:r w:rsidR="00D070DF" w:rsidRPr="00253DDD">
        <w:rPr>
          <w:sz w:val="26"/>
          <w:szCs w:val="26"/>
          <w:lang w:val="uk-UA"/>
        </w:rPr>
        <w:t xml:space="preserve"> для о</w:t>
      </w:r>
      <w:r w:rsidR="00850B71" w:rsidRPr="00253DDD">
        <w:rPr>
          <w:sz w:val="26"/>
          <w:szCs w:val="26"/>
          <w:lang w:val="uk-UA"/>
        </w:rPr>
        <w:t>здоровлення дітей в сумі 244,2</w:t>
      </w:r>
      <w:r w:rsidR="00D070DF" w:rsidRPr="00253DDD">
        <w:rPr>
          <w:sz w:val="26"/>
          <w:szCs w:val="26"/>
          <w:lang w:val="uk-UA"/>
        </w:rPr>
        <w:t xml:space="preserve"> тис.</w:t>
      </w:r>
      <w:r w:rsidR="00850B71" w:rsidRPr="00253DDD">
        <w:rPr>
          <w:sz w:val="26"/>
          <w:szCs w:val="26"/>
          <w:lang w:val="uk-UA"/>
        </w:rPr>
        <w:t xml:space="preserve"> </w:t>
      </w:r>
      <w:r w:rsidR="00D070DF" w:rsidRPr="00253DDD">
        <w:rPr>
          <w:sz w:val="26"/>
          <w:szCs w:val="26"/>
          <w:lang w:val="uk-UA"/>
        </w:rPr>
        <w:t xml:space="preserve">грн.,  </w:t>
      </w:r>
      <w:r w:rsidR="00850B71" w:rsidRPr="00253DDD">
        <w:rPr>
          <w:sz w:val="26"/>
          <w:szCs w:val="26"/>
          <w:lang w:val="uk-UA"/>
        </w:rPr>
        <w:t xml:space="preserve">у міський бюджет </w:t>
      </w:r>
      <w:proofErr w:type="spellStart"/>
      <w:r w:rsidR="00850B71" w:rsidRPr="00253DDD">
        <w:rPr>
          <w:sz w:val="26"/>
          <w:szCs w:val="26"/>
          <w:lang w:val="uk-UA"/>
        </w:rPr>
        <w:t>Новороздільської</w:t>
      </w:r>
      <w:proofErr w:type="spellEnd"/>
      <w:r w:rsidR="00850B71" w:rsidRPr="00253DDD">
        <w:rPr>
          <w:sz w:val="26"/>
          <w:szCs w:val="26"/>
          <w:lang w:val="uk-UA"/>
        </w:rPr>
        <w:t xml:space="preserve"> міської ради для КНП «</w:t>
      </w:r>
      <w:proofErr w:type="spellStart"/>
      <w:r w:rsidR="00850B71" w:rsidRPr="00253DDD">
        <w:rPr>
          <w:sz w:val="26"/>
          <w:szCs w:val="26"/>
          <w:lang w:val="uk-UA"/>
        </w:rPr>
        <w:t>Новороздільська</w:t>
      </w:r>
      <w:proofErr w:type="spellEnd"/>
      <w:r w:rsidR="00850B71" w:rsidRPr="00253DDD">
        <w:rPr>
          <w:sz w:val="26"/>
          <w:szCs w:val="26"/>
          <w:lang w:val="uk-UA"/>
        </w:rPr>
        <w:t xml:space="preserve"> МЛ» (капітальний ремонт кабінету судово-медичного експерта) в сумі 199,9 тис. грн., </w:t>
      </w:r>
      <w:r w:rsidR="002D5E6D" w:rsidRPr="00253DDD">
        <w:rPr>
          <w:sz w:val="26"/>
          <w:szCs w:val="26"/>
          <w:lang w:val="uk-UA"/>
        </w:rPr>
        <w:t xml:space="preserve">субвенцію </w:t>
      </w:r>
      <w:r w:rsidR="00D070DF" w:rsidRPr="00253DDD">
        <w:rPr>
          <w:sz w:val="26"/>
          <w:szCs w:val="26"/>
          <w:lang w:val="uk-UA"/>
        </w:rPr>
        <w:t xml:space="preserve">обласному бюджету </w:t>
      </w:r>
      <w:r w:rsidR="002D7CDF" w:rsidRPr="00253DDD">
        <w:rPr>
          <w:sz w:val="26"/>
          <w:szCs w:val="26"/>
          <w:lang w:val="uk-UA"/>
        </w:rPr>
        <w:t xml:space="preserve">на фінансове забезпечення будівництва, реконструкції, ремонту і утримання автомобільних доріг </w:t>
      </w:r>
      <w:r w:rsidR="00D070DF" w:rsidRPr="00253DDD">
        <w:rPr>
          <w:sz w:val="26"/>
          <w:szCs w:val="26"/>
          <w:lang w:val="uk-UA"/>
        </w:rPr>
        <w:t xml:space="preserve">для </w:t>
      </w:r>
      <w:proofErr w:type="spellStart"/>
      <w:r w:rsidR="00D070DF" w:rsidRPr="00253DDD">
        <w:rPr>
          <w:sz w:val="26"/>
          <w:szCs w:val="26"/>
          <w:lang w:val="uk-UA"/>
        </w:rPr>
        <w:t>співфінансування</w:t>
      </w:r>
      <w:proofErr w:type="spellEnd"/>
      <w:r w:rsidR="00D070DF" w:rsidRPr="00253DDD">
        <w:rPr>
          <w:sz w:val="26"/>
          <w:szCs w:val="26"/>
          <w:lang w:val="uk-UA"/>
        </w:rPr>
        <w:t xml:space="preserve"> </w:t>
      </w:r>
      <w:r w:rsidR="0084588D" w:rsidRPr="00253DDD">
        <w:rPr>
          <w:sz w:val="26"/>
          <w:szCs w:val="26"/>
          <w:lang w:val="uk-UA"/>
        </w:rPr>
        <w:t>дорожніх знаків в сумі 33</w:t>
      </w:r>
      <w:r w:rsidR="00D070DF" w:rsidRPr="00253DDD">
        <w:rPr>
          <w:sz w:val="26"/>
          <w:szCs w:val="26"/>
          <w:lang w:val="uk-UA"/>
        </w:rPr>
        <w:t>0,0 тис.</w:t>
      </w:r>
      <w:r w:rsidR="0084588D" w:rsidRPr="00253DDD">
        <w:rPr>
          <w:sz w:val="26"/>
          <w:szCs w:val="26"/>
          <w:lang w:val="uk-UA"/>
        </w:rPr>
        <w:t xml:space="preserve"> </w:t>
      </w:r>
      <w:r w:rsidR="002D7CDF" w:rsidRPr="00253DDD">
        <w:rPr>
          <w:sz w:val="26"/>
          <w:szCs w:val="26"/>
          <w:lang w:val="uk-UA"/>
        </w:rPr>
        <w:t>грн</w:t>
      </w:r>
      <w:r w:rsidR="00D070DF" w:rsidRPr="00253DDD">
        <w:rPr>
          <w:sz w:val="26"/>
          <w:szCs w:val="26"/>
          <w:lang w:val="uk-UA"/>
        </w:rPr>
        <w:t>.</w:t>
      </w:r>
      <w:r w:rsidR="00850B71" w:rsidRPr="00253DDD">
        <w:rPr>
          <w:sz w:val="26"/>
          <w:szCs w:val="26"/>
          <w:lang w:val="uk-UA"/>
        </w:rPr>
        <w:t xml:space="preserve"> по спеціальному фонду виділена інша субвенція обласному бюджету на придбання безпілотних літальних апаратів в сумі 500,0 тис</w:t>
      </w:r>
      <w:r w:rsidR="002D5E6D" w:rsidRPr="00253DDD">
        <w:rPr>
          <w:sz w:val="26"/>
          <w:szCs w:val="26"/>
          <w:lang w:val="uk-UA"/>
        </w:rPr>
        <w:t>. гривень.</w:t>
      </w:r>
    </w:p>
    <w:p w:rsidR="00D070DF" w:rsidRPr="00253DDD" w:rsidRDefault="00D070DF" w:rsidP="00D070DF">
      <w:pPr>
        <w:ind w:firstLine="708"/>
        <w:jc w:val="both"/>
        <w:rPr>
          <w:sz w:val="26"/>
          <w:szCs w:val="26"/>
          <w:lang w:val="uk-UA"/>
        </w:rPr>
      </w:pPr>
      <w:r w:rsidRPr="00253DDD">
        <w:rPr>
          <w:sz w:val="26"/>
          <w:szCs w:val="26"/>
          <w:lang w:val="uk-UA"/>
        </w:rPr>
        <w:t xml:space="preserve">Крім цього, з міського бюджету державному бюджету надано субвенцію на виконання програм соціально-економічного розвитку регіонів: із загального фонду в сумі </w:t>
      </w:r>
      <w:r w:rsidR="002D7CDF" w:rsidRPr="00253DDD">
        <w:rPr>
          <w:sz w:val="26"/>
          <w:szCs w:val="26"/>
          <w:lang w:val="uk-UA"/>
        </w:rPr>
        <w:t>4 542,6</w:t>
      </w:r>
      <w:r w:rsidRPr="00253DDD">
        <w:rPr>
          <w:sz w:val="26"/>
          <w:szCs w:val="26"/>
          <w:lang w:val="uk-UA"/>
        </w:rPr>
        <w:t xml:space="preserve"> тис.</w:t>
      </w:r>
      <w:r w:rsidR="002D7CDF" w:rsidRPr="00253DDD">
        <w:rPr>
          <w:sz w:val="26"/>
          <w:szCs w:val="26"/>
          <w:lang w:val="uk-UA"/>
        </w:rPr>
        <w:t xml:space="preserve"> </w:t>
      </w:r>
      <w:r w:rsidRPr="00253DDD">
        <w:rPr>
          <w:sz w:val="26"/>
          <w:szCs w:val="26"/>
          <w:lang w:val="uk-UA"/>
        </w:rPr>
        <w:t xml:space="preserve">грн., </w:t>
      </w:r>
      <w:r w:rsidR="002D7CDF" w:rsidRPr="00253DDD">
        <w:rPr>
          <w:sz w:val="26"/>
          <w:szCs w:val="26"/>
          <w:lang w:val="uk-UA"/>
        </w:rPr>
        <w:t>із спеціального фонду – 12 146,9</w:t>
      </w:r>
      <w:r w:rsidRPr="00253DDD">
        <w:rPr>
          <w:sz w:val="26"/>
          <w:szCs w:val="26"/>
          <w:lang w:val="uk-UA"/>
        </w:rPr>
        <w:t xml:space="preserve"> тис.</w:t>
      </w:r>
      <w:r w:rsidR="002D7CDF" w:rsidRPr="00253DDD">
        <w:rPr>
          <w:sz w:val="26"/>
          <w:szCs w:val="26"/>
          <w:lang w:val="uk-UA"/>
        </w:rPr>
        <w:t xml:space="preserve"> </w:t>
      </w:r>
      <w:r w:rsidRPr="00253DDD">
        <w:rPr>
          <w:sz w:val="26"/>
          <w:szCs w:val="26"/>
          <w:lang w:val="uk-UA"/>
        </w:rPr>
        <w:t>гривень.</w:t>
      </w:r>
    </w:p>
    <w:p w:rsidR="00243DCA" w:rsidRDefault="00243DCA" w:rsidP="00243DCA">
      <w:pPr>
        <w:ind w:firstLine="708"/>
        <w:jc w:val="both"/>
        <w:rPr>
          <w:sz w:val="26"/>
          <w:szCs w:val="26"/>
        </w:rPr>
      </w:pPr>
      <w:r>
        <w:rPr>
          <w:sz w:val="26"/>
          <w:szCs w:val="26"/>
          <w:lang w:val="uk-UA"/>
        </w:rPr>
        <w:t xml:space="preserve">Видаткова частина міського бюджету  за 2025 рік по загальному фонду виконана на </w:t>
      </w:r>
      <w:r>
        <w:rPr>
          <w:sz w:val="26"/>
          <w:szCs w:val="26"/>
        </w:rPr>
        <w:t>9</w:t>
      </w:r>
      <w:r>
        <w:rPr>
          <w:sz w:val="26"/>
          <w:szCs w:val="26"/>
          <w:lang w:val="uk-UA"/>
        </w:rPr>
        <w:t xml:space="preserve">7,0 відсотків до уточненого плану (уточнений план 418075,7 </w:t>
      </w:r>
      <w:proofErr w:type="spellStart"/>
      <w:r>
        <w:rPr>
          <w:sz w:val="26"/>
          <w:szCs w:val="26"/>
          <w:lang w:val="uk-UA"/>
        </w:rPr>
        <w:t>тис.грн</w:t>
      </w:r>
      <w:proofErr w:type="spellEnd"/>
      <w:r>
        <w:rPr>
          <w:sz w:val="26"/>
          <w:szCs w:val="26"/>
          <w:lang w:val="uk-UA"/>
        </w:rPr>
        <w:t>., виконано 405678,0</w:t>
      </w:r>
      <w:r>
        <w:rPr>
          <w:sz w:val="26"/>
          <w:szCs w:val="26"/>
        </w:rPr>
        <w:t xml:space="preserve"> </w:t>
      </w:r>
      <w:proofErr w:type="spellStart"/>
      <w:r>
        <w:rPr>
          <w:sz w:val="26"/>
          <w:szCs w:val="26"/>
          <w:lang w:val="uk-UA"/>
        </w:rPr>
        <w:t>тис.грн</w:t>
      </w:r>
      <w:proofErr w:type="spellEnd"/>
      <w:r>
        <w:rPr>
          <w:sz w:val="26"/>
          <w:szCs w:val="26"/>
          <w:lang w:val="uk-UA"/>
        </w:rPr>
        <w:t xml:space="preserve">.)  та по спеціальному фонду - на 91,1 відсотки  до уточнених показників (уточнений план – 97201,4 </w:t>
      </w:r>
      <w:proofErr w:type="spellStart"/>
      <w:r>
        <w:rPr>
          <w:sz w:val="26"/>
          <w:szCs w:val="26"/>
          <w:lang w:val="uk-UA"/>
        </w:rPr>
        <w:t>тис.грн</w:t>
      </w:r>
      <w:proofErr w:type="spellEnd"/>
      <w:r>
        <w:rPr>
          <w:sz w:val="26"/>
          <w:szCs w:val="26"/>
          <w:lang w:val="uk-UA"/>
        </w:rPr>
        <w:t xml:space="preserve">., фактично виконано – 88503,3 </w:t>
      </w:r>
      <w:proofErr w:type="spellStart"/>
      <w:r>
        <w:rPr>
          <w:sz w:val="26"/>
          <w:szCs w:val="26"/>
          <w:lang w:val="uk-UA"/>
        </w:rPr>
        <w:t>тис.грн</w:t>
      </w:r>
      <w:proofErr w:type="spellEnd"/>
      <w:r>
        <w:rPr>
          <w:sz w:val="26"/>
          <w:szCs w:val="26"/>
          <w:lang w:val="uk-UA"/>
        </w:rPr>
        <w:t xml:space="preserve">.).                                                                                                                                                                                                                                                                                                                                                                                                         </w:t>
      </w:r>
    </w:p>
    <w:p w:rsidR="00243DCA" w:rsidRDefault="00243DCA" w:rsidP="00243DCA">
      <w:pPr>
        <w:ind w:firstLine="708"/>
        <w:jc w:val="both"/>
        <w:rPr>
          <w:sz w:val="26"/>
          <w:szCs w:val="26"/>
          <w:lang w:val="uk-UA"/>
        </w:rPr>
      </w:pPr>
      <w:r>
        <w:rPr>
          <w:sz w:val="26"/>
          <w:szCs w:val="26"/>
          <w:lang w:val="uk-UA"/>
        </w:rPr>
        <w:t xml:space="preserve">По всіх бюджетних установах забезпечено виплату заробітної плати за другу половину грудня 2025 року, повністю проведено розрахунки за спожиті бюджетними установами енергоносії, комунальні послуги та інші захищені  статті витрат. </w:t>
      </w:r>
    </w:p>
    <w:p w:rsidR="00243DCA" w:rsidRDefault="00243DCA" w:rsidP="00243DCA">
      <w:pPr>
        <w:jc w:val="both"/>
        <w:rPr>
          <w:sz w:val="26"/>
          <w:szCs w:val="26"/>
          <w:lang w:val="uk-UA"/>
        </w:rPr>
      </w:pPr>
      <w:r>
        <w:rPr>
          <w:sz w:val="26"/>
          <w:szCs w:val="26"/>
          <w:lang w:val="uk-UA"/>
        </w:rPr>
        <w:t xml:space="preserve">         У загальному обсязі видатків на заробітну плату використано 289276,2 </w:t>
      </w:r>
      <w:proofErr w:type="spellStart"/>
      <w:r>
        <w:rPr>
          <w:sz w:val="26"/>
          <w:szCs w:val="26"/>
          <w:lang w:val="uk-UA"/>
        </w:rPr>
        <w:t>тис.грн</w:t>
      </w:r>
      <w:proofErr w:type="spellEnd"/>
      <w:r>
        <w:rPr>
          <w:sz w:val="26"/>
          <w:szCs w:val="26"/>
          <w:lang w:val="uk-UA"/>
        </w:rPr>
        <w:t xml:space="preserve">. (58,5%), харчування – 22970,6 </w:t>
      </w:r>
      <w:proofErr w:type="spellStart"/>
      <w:r>
        <w:rPr>
          <w:sz w:val="26"/>
          <w:szCs w:val="26"/>
          <w:lang w:val="uk-UA"/>
        </w:rPr>
        <w:t>тис.грн</w:t>
      </w:r>
      <w:proofErr w:type="spellEnd"/>
      <w:r>
        <w:rPr>
          <w:sz w:val="26"/>
          <w:szCs w:val="26"/>
          <w:lang w:val="uk-UA"/>
        </w:rPr>
        <w:t xml:space="preserve">. (4,7%), енергоносії та комунальні послуги – 25201,8 </w:t>
      </w:r>
      <w:proofErr w:type="spellStart"/>
      <w:r>
        <w:rPr>
          <w:sz w:val="26"/>
          <w:szCs w:val="26"/>
          <w:lang w:val="uk-UA"/>
        </w:rPr>
        <w:t>тис.грн</w:t>
      </w:r>
      <w:proofErr w:type="spellEnd"/>
      <w:r>
        <w:rPr>
          <w:sz w:val="26"/>
          <w:szCs w:val="26"/>
          <w:lang w:val="uk-UA"/>
        </w:rPr>
        <w:t xml:space="preserve">. (5,1%), соціальне забезпечення – 10107,4 </w:t>
      </w:r>
      <w:proofErr w:type="spellStart"/>
      <w:r>
        <w:rPr>
          <w:sz w:val="26"/>
          <w:szCs w:val="26"/>
          <w:lang w:val="uk-UA"/>
        </w:rPr>
        <w:t>тис.грн</w:t>
      </w:r>
      <w:proofErr w:type="spellEnd"/>
      <w:r>
        <w:rPr>
          <w:sz w:val="26"/>
          <w:szCs w:val="26"/>
          <w:lang w:val="uk-UA"/>
        </w:rPr>
        <w:t xml:space="preserve">. (2,0%) та на капітальні видатки використано 75563,6 </w:t>
      </w:r>
      <w:proofErr w:type="spellStart"/>
      <w:r>
        <w:rPr>
          <w:sz w:val="26"/>
          <w:szCs w:val="26"/>
          <w:lang w:val="uk-UA"/>
        </w:rPr>
        <w:t>тис.грн</w:t>
      </w:r>
      <w:proofErr w:type="spellEnd"/>
      <w:r>
        <w:rPr>
          <w:sz w:val="26"/>
          <w:szCs w:val="26"/>
          <w:lang w:val="uk-UA"/>
        </w:rPr>
        <w:t>. або 15,3 відсотків загального обсягу проведених видатків.</w:t>
      </w:r>
    </w:p>
    <w:p w:rsidR="00243DCA" w:rsidRDefault="00243DCA" w:rsidP="00243DCA">
      <w:pPr>
        <w:ind w:firstLine="708"/>
        <w:jc w:val="both"/>
        <w:rPr>
          <w:sz w:val="26"/>
          <w:szCs w:val="26"/>
          <w:lang w:val="uk-UA"/>
        </w:rPr>
      </w:pPr>
      <w:r>
        <w:rPr>
          <w:sz w:val="26"/>
          <w:szCs w:val="26"/>
          <w:lang w:val="uk-UA"/>
        </w:rPr>
        <w:t xml:space="preserve"> У 2025 році у Миколаївській громаді за кошти міського бюджету діяли 77 місцевих цільових програм, на реалізацію яких було виділено 131827,0 </w:t>
      </w:r>
      <w:proofErr w:type="spellStart"/>
      <w:r>
        <w:rPr>
          <w:sz w:val="26"/>
          <w:szCs w:val="26"/>
          <w:lang w:val="uk-UA"/>
        </w:rPr>
        <w:t>тис.грн</w:t>
      </w:r>
      <w:proofErr w:type="spellEnd"/>
      <w:r>
        <w:rPr>
          <w:sz w:val="26"/>
          <w:szCs w:val="26"/>
          <w:lang w:val="uk-UA"/>
        </w:rPr>
        <w:t xml:space="preserve">., у тому числі на оборонні потреби, підтримку військових формувань та правоохоронних органів спрямовано 23549,9 </w:t>
      </w:r>
      <w:proofErr w:type="spellStart"/>
      <w:r>
        <w:rPr>
          <w:sz w:val="26"/>
          <w:szCs w:val="26"/>
          <w:lang w:val="uk-UA"/>
        </w:rPr>
        <w:t>тис.гривень</w:t>
      </w:r>
      <w:proofErr w:type="spellEnd"/>
      <w:r>
        <w:rPr>
          <w:sz w:val="26"/>
          <w:szCs w:val="26"/>
          <w:lang w:val="uk-UA"/>
        </w:rPr>
        <w:t xml:space="preserve">. </w:t>
      </w:r>
    </w:p>
    <w:p w:rsidR="00243DCA" w:rsidRDefault="00243DCA" w:rsidP="00243DCA">
      <w:pPr>
        <w:ind w:firstLine="708"/>
        <w:jc w:val="both"/>
        <w:rPr>
          <w:color w:val="000000"/>
          <w:sz w:val="26"/>
          <w:szCs w:val="26"/>
          <w:lang w:val="uk-UA"/>
        </w:rPr>
      </w:pPr>
      <w:r>
        <w:rPr>
          <w:color w:val="000000"/>
          <w:sz w:val="26"/>
          <w:szCs w:val="26"/>
          <w:lang w:val="uk-UA"/>
        </w:rPr>
        <w:t xml:space="preserve">Кредиторської заборгованості на кінець року немає, проте мала місце </w:t>
      </w:r>
      <w:proofErr w:type="spellStart"/>
      <w:r>
        <w:rPr>
          <w:color w:val="000000"/>
          <w:sz w:val="26"/>
          <w:szCs w:val="26"/>
          <w:lang w:val="uk-UA"/>
        </w:rPr>
        <w:t>дебеторська</w:t>
      </w:r>
      <w:proofErr w:type="spellEnd"/>
      <w:r>
        <w:rPr>
          <w:color w:val="000000"/>
          <w:sz w:val="26"/>
          <w:szCs w:val="26"/>
          <w:lang w:val="uk-UA"/>
        </w:rPr>
        <w:t xml:space="preserve"> заборгованість на кінець року з оплати газопостачання.</w:t>
      </w:r>
    </w:p>
    <w:p w:rsidR="00243DCA" w:rsidRDefault="00243DCA" w:rsidP="00243DCA">
      <w:pPr>
        <w:ind w:firstLine="708"/>
        <w:jc w:val="both"/>
        <w:rPr>
          <w:color w:val="000000"/>
          <w:sz w:val="26"/>
          <w:szCs w:val="26"/>
          <w:lang w:val="uk-UA"/>
        </w:rPr>
      </w:pPr>
      <w:r>
        <w:rPr>
          <w:color w:val="000000"/>
          <w:sz w:val="26"/>
          <w:szCs w:val="26"/>
          <w:lang w:val="uk-UA"/>
        </w:rPr>
        <w:t>З міського бюджету здійснювалось фінансування 81–ї бюджетної установи з загальною чисельністю 1347 посад.</w:t>
      </w:r>
    </w:p>
    <w:p w:rsidR="00243DCA" w:rsidRDefault="00243DCA" w:rsidP="00243DCA">
      <w:pPr>
        <w:ind w:firstLine="708"/>
        <w:jc w:val="both"/>
        <w:rPr>
          <w:color w:val="FF0000"/>
          <w:sz w:val="26"/>
          <w:szCs w:val="26"/>
          <w:lang w:val="uk-UA"/>
        </w:rPr>
      </w:pPr>
      <w:r>
        <w:rPr>
          <w:color w:val="000000"/>
          <w:sz w:val="26"/>
          <w:szCs w:val="26"/>
          <w:lang w:val="uk-UA"/>
        </w:rPr>
        <w:t>У 20</w:t>
      </w:r>
      <w:r>
        <w:rPr>
          <w:color w:val="000000"/>
          <w:sz w:val="26"/>
          <w:szCs w:val="26"/>
        </w:rPr>
        <w:t>2</w:t>
      </w:r>
      <w:r>
        <w:rPr>
          <w:color w:val="000000"/>
          <w:sz w:val="26"/>
          <w:szCs w:val="26"/>
          <w:lang w:val="uk-UA"/>
        </w:rPr>
        <w:t xml:space="preserve">5 році на житлово-комунальне господарство Миколаївської громади загальний обсяг видатків склав 32153,4 </w:t>
      </w:r>
      <w:proofErr w:type="spellStart"/>
      <w:r>
        <w:rPr>
          <w:color w:val="000000"/>
          <w:sz w:val="26"/>
          <w:szCs w:val="26"/>
          <w:lang w:val="uk-UA"/>
        </w:rPr>
        <w:t>тис.грн</w:t>
      </w:r>
      <w:proofErr w:type="spellEnd"/>
      <w:r>
        <w:rPr>
          <w:color w:val="000000"/>
          <w:sz w:val="26"/>
          <w:szCs w:val="26"/>
          <w:lang w:val="uk-UA"/>
        </w:rPr>
        <w:t xml:space="preserve">. при планових показниках 33845,6 </w:t>
      </w:r>
      <w:proofErr w:type="spellStart"/>
      <w:r>
        <w:rPr>
          <w:color w:val="000000"/>
          <w:sz w:val="26"/>
          <w:szCs w:val="26"/>
          <w:lang w:val="uk-UA"/>
        </w:rPr>
        <w:t>тис.грн</w:t>
      </w:r>
      <w:proofErr w:type="spellEnd"/>
      <w:r>
        <w:rPr>
          <w:color w:val="000000"/>
          <w:sz w:val="26"/>
          <w:szCs w:val="26"/>
          <w:lang w:val="uk-UA"/>
        </w:rPr>
        <w:t xml:space="preserve">., в тому числі по загальному фонду планувались видатки в сумі 25848,9 </w:t>
      </w:r>
      <w:proofErr w:type="spellStart"/>
      <w:r>
        <w:rPr>
          <w:color w:val="000000"/>
          <w:sz w:val="26"/>
          <w:szCs w:val="26"/>
          <w:lang w:val="uk-UA"/>
        </w:rPr>
        <w:t>тис.грн</w:t>
      </w:r>
      <w:proofErr w:type="spellEnd"/>
      <w:r>
        <w:rPr>
          <w:color w:val="000000"/>
          <w:sz w:val="26"/>
          <w:szCs w:val="26"/>
          <w:lang w:val="uk-UA"/>
        </w:rPr>
        <w:t xml:space="preserve">, касові видатки склали 25350,0 </w:t>
      </w:r>
      <w:proofErr w:type="spellStart"/>
      <w:r>
        <w:rPr>
          <w:color w:val="000000"/>
          <w:sz w:val="26"/>
          <w:szCs w:val="26"/>
          <w:lang w:val="uk-UA"/>
        </w:rPr>
        <w:t>тис.грн</w:t>
      </w:r>
      <w:proofErr w:type="spellEnd"/>
      <w:r>
        <w:rPr>
          <w:color w:val="000000"/>
          <w:sz w:val="26"/>
          <w:szCs w:val="26"/>
          <w:lang w:val="uk-UA"/>
        </w:rPr>
        <w:t xml:space="preserve">, що становить 98,1  відсотків до плану та по спеціальному фонду бюджету Миколаївської громади на житлово-комунальне господарство при планових асигнуваннях в сумі 7996,7 </w:t>
      </w:r>
      <w:proofErr w:type="spellStart"/>
      <w:r>
        <w:rPr>
          <w:color w:val="000000"/>
          <w:sz w:val="26"/>
          <w:szCs w:val="26"/>
          <w:lang w:val="uk-UA"/>
        </w:rPr>
        <w:t>тис.грн</w:t>
      </w:r>
      <w:proofErr w:type="spellEnd"/>
      <w:r>
        <w:rPr>
          <w:color w:val="000000"/>
          <w:sz w:val="26"/>
          <w:szCs w:val="26"/>
          <w:lang w:val="uk-UA"/>
        </w:rPr>
        <w:t xml:space="preserve">. видатки проведено в сумі 6803,4 </w:t>
      </w:r>
      <w:proofErr w:type="spellStart"/>
      <w:r>
        <w:rPr>
          <w:color w:val="000000"/>
          <w:sz w:val="26"/>
          <w:szCs w:val="26"/>
          <w:lang w:val="uk-UA"/>
        </w:rPr>
        <w:t>тис.гривень</w:t>
      </w:r>
      <w:proofErr w:type="spellEnd"/>
      <w:r>
        <w:rPr>
          <w:color w:val="000000"/>
          <w:sz w:val="26"/>
          <w:szCs w:val="26"/>
          <w:lang w:val="uk-UA"/>
        </w:rPr>
        <w:t xml:space="preserve">. </w:t>
      </w:r>
      <w:r>
        <w:rPr>
          <w:color w:val="FF0000"/>
          <w:sz w:val="26"/>
          <w:szCs w:val="26"/>
          <w:lang w:val="uk-UA"/>
        </w:rPr>
        <w:tab/>
      </w:r>
    </w:p>
    <w:p w:rsidR="00243DCA" w:rsidRDefault="00243DCA" w:rsidP="00243DCA">
      <w:pPr>
        <w:ind w:firstLine="708"/>
        <w:jc w:val="both"/>
        <w:rPr>
          <w:sz w:val="26"/>
          <w:szCs w:val="26"/>
          <w:lang w:val="uk-UA"/>
        </w:rPr>
      </w:pPr>
      <w:r>
        <w:rPr>
          <w:sz w:val="26"/>
          <w:szCs w:val="26"/>
          <w:lang w:val="uk-UA"/>
        </w:rPr>
        <w:t>У 20</w:t>
      </w:r>
      <w:r>
        <w:rPr>
          <w:sz w:val="26"/>
          <w:szCs w:val="26"/>
        </w:rPr>
        <w:t>2</w:t>
      </w:r>
      <w:r>
        <w:rPr>
          <w:sz w:val="26"/>
          <w:szCs w:val="26"/>
          <w:lang w:val="uk-UA"/>
        </w:rPr>
        <w:t xml:space="preserve">5 році на утримання та розвиток автомобільних доріг та дорожньої інфраструктури Миколаївської громади по загальному фонду планувались видатки в сумі 2563,0 </w:t>
      </w:r>
      <w:proofErr w:type="spellStart"/>
      <w:r>
        <w:rPr>
          <w:sz w:val="26"/>
          <w:szCs w:val="26"/>
          <w:lang w:val="uk-UA"/>
        </w:rPr>
        <w:t>тис.грн</w:t>
      </w:r>
      <w:proofErr w:type="spellEnd"/>
      <w:r>
        <w:rPr>
          <w:sz w:val="26"/>
          <w:szCs w:val="26"/>
          <w:lang w:val="uk-UA"/>
        </w:rPr>
        <w:t xml:space="preserve">, касові видатки склали 2254,2 </w:t>
      </w:r>
      <w:proofErr w:type="spellStart"/>
      <w:r>
        <w:rPr>
          <w:sz w:val="26"/>
          <w:szCs w:val="26"/>
          <w:lang w:val="uk-UA"/>
        </w:rPr>
        <w:t>тис.грн</w:t>
      </w:r>
      <w:proofErr w:type="spellEnd"/>
      <w:r>
        <w:rPr>
          <w:sz w:val="26"/>
          <w:szCs w:val="26"/>
          <w:lang w:val="uk-UA"/>
        </w:rPr>
        <w:t xml:space="preserve">, що становить 88,0  </w:t>
      </w:r>
      <w:r>
        <w:rPr>
          <w:sz w:val="26"/>
          <w:szCs w:val="26"/>
          <w:lang w:val="uk-UA"/>
        </w:rPr>
        <w:lastRenderedPageBreak/>
        <w:t xml:space="preserve">відсотків до плану. Видатки проведено за рахунок коштів місцевого бюджету, які спрямовано на  поточний ремонт вулиць. По спеціальному фонду для проведення капітальних ремонтів доріг та вулиць заплановані видатки в сумі 31682,4 </w:t>
      </w:r>
      <w:proofErr w:type="spellStart"/>
      <w:r>
        <w:rPr>
          <w:sz w:val="26"/>
          <w:szCs w:val="26"/>
          <w:lang w:val="uk-UA"/>
        </w:rPr>
        <w:t>тис.грн</w:t>
      </w:r>
      <w:proofErr w:type="spellEnd"/>
      <w:r>
        <w:rPr>
          <w:sz w:val="26"/>
          <w:szCs w:val="26"/>
          <w:lang w:val="uk-UA"/>
        </w:rPr>
        <w:t xml:space="preserve">.  проведені в сумі 29048,8 </w:t>
      </w:r>
      <w:proofErr w:type="spellStart"/>
      <w:r>
        <w:rPr>
          <w:sz w:val="26"/>
          <w:szCs w:val="26"/>
          <w:lang w:val="uk-UA"/>
        </w:rPr>
        <w:t>тис.гривень</w:t>
      </w:r>
      <w:proofErr w:type="spellEnd"/>
      <w:r>
        <w:rPr>
          <w:sz w:val="26"/>
          <w:szCs w:val="26"/>
          <w:lang w:val="uk-UA"/>
        </w:rPr>
        <w:t>.</w:t>
      </w:r>
    </w:p>
    <w:p w:rsidR="00243DCA" w:rsidRDefault="00243DCA" w:rsidP="00243DCA">
      <w:pPr>
        <w:ind w:firstLine="708"/>
        <w:jc w:val="both"/>
        <w:rPr>
          <w:sz w:val="26"/>
          <w:szCs w:val="26"/>
          <w:lang w:val="uk-UA"/>
        </w:rPr>
      </w:pPr>
      <w:r>
        <w:rPr>
          <w:sz w:val="26"/>
          <w:szCs w:val="26"/>
          <w:lang w:val="uk-UA"/>
        </w:rPr>
        <w:t>Фінансування видатків бюджету Миколаївської міської ради, міських цільових програм у 2025 році здійснювались з врахуванням постанови Кабінету Міністрів України від 09.06.2021 року зі змінами і доповненнями «Про затвердження Порядку виконання повноважень Державною казначейською службою в особливому режимі в умовах воєнного стану».</w:t>
      </w:r>
    </w:p>
    <w:p w:rsidR="00243DCA" w:rsidRDefault="00243DCA" w:rsidP="00243DCA">
      <w:pPr>
        <w:ind w:firstLine="708"/>
        <w:jc w:val="both"/>
        <w:rPr>
          <w:sz w:val="26"/>
          <w:szCs w:val="26"/>
          <w:lang w:val="uk-UA"/>
        </w:rPr>
      </w:pPr>
      <w:r>
        <w:rPr>
          <w:sz w:val="26"/>
          <w:szCs w:val="26"/>
          <w:lang w:val="uk-UA"/>
        </w:rPr>
        <w:t>За рахунок бюджету розвитку відремонтовано та розпочато роботи на 60 – и об</w:t>
      </w:r>
      <w:r>
        <w:rPr>
          <w:sz w:val="26"/>
          <w:szCs w:val="26"/>
        </w:rPr>
        <w:t>’</w:t>
      </w:r>
      <w:proofErr w:type="spellStart"/>
      <w:r>
        <w:rPr>
          <w:sz w:val="26"/>
          <w:szCs w:val="26"/>
          <w:lang w:val="uk-UA"/>
        </w:rPr>
        <w:t>єктах</w:t>
      </w:r>
      <w:proofErr w:type="spellEnd"/>
      <w:r>
        <w:rPr>
          <w:sz w:val="26"/>
          <w:szCs w:val="26"/>
          <w:lang w:val="uk-UA"/>
        </w:rPr>
        <w:t>.</w:t>
      </w:r>
    </w:p>
    <w:p w:rsidR="00243DCA" w:rsidRDefault="00243DCA" w:rsidP="00243DCA">
      <w:pPr>
        <w:ind w:firstLine="708"/>
        <w:jc w:val="both"/>
        <w:rPr>
          <w:sz w:val="26"/>
          <w:szCs w:val="26"/>
          <w:lang w:val="uk-UA"/>
        </w:rPr>
      </w:pPr>
      <w:r>
        <w:rPr>
          <w:sz w:val="26"/>
          <w:szCs w:val="26"/>
          <w:lang w:val="uk-UA"/>
        </w:rPr>
        <w:t xml:space="preserve">Станом на 01.01.2026 року залишок коштів міського бюджету по загальному фонду становить 32751,5 </w:t>
      </w:r>
      <w:proofErr w:type="spellStart"/>
      <w:r>
        <w:rPr>
          <w:sz w:val="26"/>
          <w:szCs w:val="26"/>
          <w:lang w:val="uk-UA"/>
        </w:rPr>
        <w:t>тис.грн</w:t>
      </w:r>
      <w:proofErr w:type="spellEnd"/>
      <w:r>
        <w:rPr>
          <w:sz w:val="26"/>
          <w:szCs w:val="26"/>
          <w:lang w:val="uk-UA"/>
        </w:rPr>
        <w:t xml:space="preserve">., в тому числі вільний залишок – 31451,5 </w:t>
      </w:r>
      <w:proofErr w:type="spellStart"/>
      <w:r>
        <w:rPr>
          <w:sz w:val="26"/>
          <w:szCs w:val="26"/>
          <w:lang w:val="uk-UA"/>
        </w:rPr>
        <w:t>тис.гривень</w:t>
      </w:r>
      <w:proofErr w:type="spellEnd"/>
      <w:r>
        <w:rPr>
          <w:sz w:val="26"/>
          <w:szCs w:val="26"/>
          <w:lang w:val="uk-UA"/>
        </w:rPr>
        <w:t>.</w:t>
      </w:r>
    </w:p>
    <w:p w:rsidR="00D070DF" w:rsidRPr="00F12C9E" w:rsidRDefault="00D070DF" w:rsidP="00216262">
      <w:pPr>
        <w:rPr>
          <w:b/>
          <w:sz w:val="24"/>
          <w:szCs w:val="24"/>
          <w:highlight w:val="green"/>
          <w:lang w:val="uk-UA" w:eastAsia="en-US"/>
        </w:rPr>
      </w:pPr>
      <w:bookmarkStart w:id="0" w:name="_GoBack"/>
      <w:bookmarkEnd w:id="0"/>
    </w:p>
    <w:sectPr w:rsidR="00D070DF" w:rsidRPr="00F12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73576"/>
    <w:multiLevelType w:val="hybridMultilevel"/>
    <w:tmpl w:val="3284438E"/>
    <w:lvl w:ilvl="0" w:tplc="E44A98D2">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68B118BB"/>
    <w:multiLevelType w:val="hybridMultilevel"/>
    <w:tmpl w:val="49D6EC14"/>
    <w:lvl w:ilvl="0" w:tplc="ECAC332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7C"/>
    <w:rsid w:val="0000010E"/>
    <w:rsid w:val="000278A5"/>
    <w:rsid w:val="00055A1F"/>
    <w:rsid w:val="0007004D"/>
    <w:rsid w:val="00073AEC"/>
    <w:rsid w:val="0007640F"/>
    <w:rsid w:val="000B3732"/>
    <w:rsid w:val="000B5BA2"/>
    <w:rsid w:val="000E0DA8"/>
    <w:rsid w:val="001201F8"/>
    <w:rsid w:val="00140CDF"/>
    <w:rsid w:val="00155F6B"/>
    <w:rsid w:val="00157E85"/>
    <w:rsid w:val="001774CA"/>
    <w:rsid w:val="00203570"/>
    <w:rsid w:val="00204EED"/>
    <w:rsid w:val="002069AC"/>
    <w:rsid w:val="00216262"/>
    <w:rsid w:val="00243DCA"/>
    <w:rsid w:val="00250108"/>
    <w:rsid w:val="00252A53"/>
    <w:rsid w:val="00253DDD"/>
    <w:rsid w:val="002C058C"/>
    <w:rsid w:val="002C2392"/>
    <w:rsid w:val="002D5E6D"/>
    <w:rsid w:val="002D7CDF"/>
    <w:rsid w:val="002F1E55"/>
    <w:rsid w:val="002F6B6E"/>
    <w:rsid w:val="00314116"/>
    <w:rsid w:val="0031457C"/>
    <w:rsid w:val="003379DF"/>
    <w:rsid w:val="003636A3"/>
    <w:rsid w:val="00370D12"/>
    <w:rsid w:val="00381EF7"/>
    <w:rsid w:val="003A5A09"/>
    <w:rsid w:val="003C04B5"/>
    <w:rsid w:val="003F3A83"/>
    <w:rsid w:val="003F6E0B"/>
    <w:rsid w:val="00404174"/>
    <w:rsid w:val="00404E6F"/>
    <w:rsid w:val="00442152"/>
    <w:rsid w:val="004455A4"/>
    <w:rsid w:val="00472669"/>
    <w:rsid w:val="004812EA"/>
    <w:rsid w:val="004D7257"/>
    <w:rsid w:val="004E4FD3"/>
    <w:rsid w:val="0056697F"/>
    <w:rsid w:val="00571555"/>
    <w:rsid w:val="005B3F63"/>
    <w:rsid w:val="005C785D"/>
    <w:rsid w:val="006004F7"/>
    <w:rsid w:val="00641132"/>
    <w:rsid w:val="00652AC2"/>
    <w:rsid w:val="006618F3"/>
    <w:rsid w:val="006979F3"/>
    <w:rsid w:val="006B1AE1"/>
    <w:rsid w:val="006C3189"/>
    <w:rsid w:val="007968C6"/>
    <w:rsid w:val="007A21C1"/>
    <w:rsid w:val="007B0DB6"/>
    <w:rsid w:val="007D4A03"/>
    <w:rsid w:val="007E002B"/>
    <w:rsid w:val="007F6EE9"/>
    <w:rsid w:val="008205DD"/>
    <w:rsid w:val="00824CB6"/>
    <w:rsid w:val="0084588D"/>
    <w:rsid w:val="00850B71"/>
    <w:rsid w:val="00885152"/>
    <w:rsid w:val="008871D5"/>
    <w:rsid w:val="008B008C"/>
    <w:rsid w:val="008B7FDD"/>
    <w:rsid w:val="00902ABB"/>
    <w:rsid w:val="00915619"/>
    <w:rsid w:val="00926907"/>
    <w:rsid w:val="00957A2D"/>
    <w:rsid w:val="00994A06"/>
    <w:rsid w:val="009E091D"/>
    <w:rsid w:val="00A27365"/>
    <w:rsid w:val="00A3046E"/>
    <w:rsid w:val="00A3228D"/>
    <w:rsid w:val="00A87599"/>
    <w:rsid w:val="00AA20BC"/>
    <w:rsid w:val="00AC11B2"/>
    <w:rsid w:val="00AC6A66"/>
    <w:rsid w:val="00AD5601"/>
    <w:rsid w:val="00AE5FEE"/>
    <w:rsid w:val="00B01F7C"/>
    <w:rsid w:val="00B112F2"/>
    <w:rsid w:val="00B30B8C"/>
    <w:rsid w:val="00BB328D"/>
    <w:rsid w:val="00C04C7E"/>
    <w:rsid w:val="00C115D1"/>
    <w:rsid w:val="00C224EB"/>
    <w:rsid w:val="00C673D9"/>
    <w:rsid w:val="00CC3453"/>
    <w:rsid w:val="00D041B1"/>
    <w:rsid w:val="00D070DF"/>
    <w:rsid w:val="00DC4527"/>
    <w:rsid w:val="00E151FF"/>
    <w:rsid w:val="00E37198"/>
    <w:rsid w:val="00E755D4"/>
    <w:rsid w:val="00E9606E"/>
    <w:rsid w:val="00EA0E2D"/>
    <w:rsid w:val="00EE1A5E"/>
    <w:rsid w:val="00EE3169"/>
    <w:rsid w:val="00EF023E"/>
    <w:rsid w:val="00F12C9E"/>
    <w:rsid w:val="00F27898"/>
    <w:rsid w:val="00F429B3"/>
    <w:rsid w:val="00F67A1F"/>
    <w:rsid w:val="00F8614F"/>
    <w:rsid w:val="00FB3D05"/>
    <w:rsid w:val="00FD10D4"/>
    <w:rsid w:val="00FF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365"/>
    <w:rPr>
      <w:rFonts w:ascii="Tahoma" w:hAnsi="Tahoma" w:cs="Tahoma"/>
      <w:sz w:val="16"/>
      <w:szCs w:val="16"/>
    </w:rPr>
  </w:style>
  <w:style w:type="character" w:customStyle="1" w:styleId="a4">
    <w:name w:val="Текст у виносці Знак"/>
    <w:basedOn w:val="a0"/>
    <w:link w:val="a3"/>
    <w:uiPriority w:val="99"/>
    <w:semiHidden/>
    <w:rsid w:val="00A27365"/>
    <w:rPr>
      <w:rFonts w:ascii="Tahoma" w:eastAsia="Times New Roman" w:hAnsi="Tahoma" w:cs="Tahoma"/>
      <w:sz w:val="16"/>
      <w:szCs w:val="16"/>
      <w:lang w:eastAsia="ru-RU"/>
    </w:rPr>
  </w:style>
  <w:style w:type="paragraph" w:customStyle="1" w:styleId="3">
    <w:name w:val="Знак Знак3 Знак Знак Знак Знак Знак Знак Знак Знак Знак Знак Знак Знак Знак Знак Знак Знак Знак Знак"/>
    <w:basedOn w:val="a"/>
    <w:rsid w:val="00216262"/>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365"/>
    <w:rPr>
      <w:rFonts w:ascii="Tahoma" w:hAnsi="Tahoma" w:cs="Tahoma"/>
      <w:sz w:val="16"/>
      <w:szCs w:val="16"/>
    </w:rPr>
  </w:style>
  <w:style w:type="character" w:customStyle="1" w:styleId="a4">
    <w:name w:val="Текст у виносці Знак"/>
    <w:basedOn w:val="a0"/>
    <w:link w:val="a3"/>
    <w:uiPriority w:val="99"/>
    <w:semiHidden/>
    <w:rsid w:val="00A27365"/>
    <w:rPr>
      <w:rFonts w:ascii="Tahoma" w:eastAsia="Times New Roman" w:hAnsi="Tahoma" w:cs="Tahoma"/>
      <w:sz w:val="16"/>
      <w:szCs w:val="16"/>
      <w:lang w:eastAsia="ru-RU"/>
    </w:rPr>
  </w:style>
  <w:style w:type="paragraph" w:customStyle="1" w:styleId="3">
    <w:name w:val="Знак Знак3 Знак Знак Знак Знак Знак Знак Знак Знак Знак Знак Знак Знак Знак Знак Знак Знак Знак Знак"/>
    <w:basedOn w:val="a"/>
    <w:rsid w:val="00216262"/>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44"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044" b="1" i="0" u="none" strike="noStrike" cap="all" baseline="0">
                <a:effectLst/>
                <a:latin typeface="Times New Roman" panose="02020603050405020304" pitchFamily="18" charset="0"/>
                <a:cs typeface="Times New Roman" panose="02020603050405020304" pitchFamily="18" charset="0"/>
              </a:rPr>
              <a:t>Структура ДОХОДІВ  загального фонду у 2025 році</a:t>
            </a:r>
            <a:endParaRPr lang="uk-UA" sz="1050">
              <a:latin typeface="Times New Roman" panose="02020603050405020304" pitchFamily="18" charset="0"/>
              <a:cs typeface="Times New Roman" panose="02020603050405020304" pitchFamily="18" charset="0"/>
            </a:endParaRPr>
          </a:p>
        </c:rich>
      </c:tx>
      <c:layout>
        <c:manualLayout>
          <c:xMode val="edge"/>
          <c:yMode val="edge"/>
          <c:x val="0.14712326265277637"/>
          <c:y val="2.8917165641632877E-2"/>
        </c:manualLayout>
      </c:layout>
      <c:overlay val="0"/>
      <c:spPr>
        <a:noFill/>
        <a:ln w="25259">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8751778252359286E-2"/>
          <c:y val="0.23446520672238799"/>
          <c:w val="0.51846828626177932"/>
          <c:h val="0.67137703315135155"/>
        </c:manualLayout>
      </c:layout>
      <c:pie3DChart>
        <c:varyColors val="1"/>
        <c:ser>
          <c:idx val="0"/>
          <c:order val="0"/>
          <c:tx>
            <c:strRef>
              <c:f>Лист1!$B$1</c:f>
              <c:strCache>
                <c:ptCount val="1"/>
                <c:pt idx="0">
                  <c:v>Столбец1</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dPt>
          <c:dPt>
            <c:idx val="2"/>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22177866489243744"/>
                  <c:y val="-0.14722660699252221"/>
                </c:manualLayout>
              </c:layout>
              <c:numFmt formatCode="0.0%" sourceLinked="0"/>
              <c:spPr>
                <a:noFill/>
                <a:ln w="25259">
                  <a:noFill/>
                </a:ln>
              </c:spPr>
              <c:txPr>
                <a:bodyPr rot="0" spcFirstLastPara="1" vertOverflow="ellipsis" vert="horz" wrap="square" lIns="38100" tIns="19050" rIns="38100" bIns="19050" anchor="ctr" anchorCtr="1">
                  <a:noAutofit/>
                </a:bodyPr>
                <a:lstStyle/>
                <a:p>
                  <a:pPr>
                    <a:defRPr sz="994" b="1" i="0" u="none" strike="noStrike" kern="1200" spc="0" baseline="0">
                      <a:solidFill>
                        <a:schemeClr val="tx1"/>
                      </a:solidFill>
                      <a:latin typeface="+mn-lt"/>
                      <a:ea typeface="+mn-ea"/>
                      <a:cs typeface="+mn-cs"/>
                    </a:defRPr>
                  </a:pPr>
                  <a:endParaRPr lang="uk-UA"/>
                </a:p>
              </c:txPr>
              <c:dLblPos val="bestFit"/>
              <c:showLegendKey val="0"/>
              <c:showVal val="0"/>
              <c:showCatName val="0"/>
              <c:showSerName val="0"/>
              <c:showPercent val="1"/>
              <c:showBubbleSize val="0"/>
            </c:dLbl>
            <c:dLbl>
              <c:idx val="1"/>
              <c:layout>
                <c:manualLayout>
                  <c:x val="-1.2100200679246356E-2"/>
                  <c:y val="4.7862522086699943E-2"/>
                </c:manualLayout>
              </c:layout>
              <c:dLblPos val="bestFit"/>
              <c:showLegendKey val="0"/>
              <c:showVal val="0"/>
              <c:showCatName val="0"/>
              <c:showSerName val="0"/>
              <c:showPercent val="1"/>
              <c:showBubbleSize val="0"/>
            </c:dLbl>
            <c:dLbl>
              <c:idx val="2"/>
              <c:layout>
                <c:manualLayout>
                  <c:x val="-7.2256528391139802E-2"/>
                  <c:y val="-1.0234790912573836E-2"/>
                </c:manualLayout>
              </c:layout>
              <c:dLblPos val="bestFit"/>
              <c:showLegendKey val="0"/>
              <c:showVal val="0"/>
              <c:showCatName val="0"/>
              <c:showSerName val="0"/>
              <c:showPercent val="1"/>
              <c:showBubbleSize val="0"/>
            </c:dLbl>
            <c:dLbl>
              <c:idx val="3"/>
              <c:layout>
                <c:manualLayout>
                  <c:x val="-1.6054071497889739E-2"/>
                  <c:y val="-3.927613811424787E-2"/>
                </c:manualLayout>
              </c:layout>
              <c:numFmt formatCode="0.0%" sourceLinked="0"/>
              <c:spPr>
                <a:noFill/>
                <a:ln w="25259">
                  <a:noFill/>
                </a:ln>
              </c:spPr>
              <c:txPr>
                <a:bodyPr rot="0" spcFirstLastPara="1" vertOverflow="ellipsis" vert="horz" wrap="square" lIns="38100" tIns="19050" rIns="38100" bIns="19050" anchor="ctr" anchorCtr="1">
                  <a:noAutofit/>
                </a:bodyPr>
                <a:lstStyle/>
                <a:p>
                  <a:pPr>
                    <a:defRPr sz="994" b="1" i="0" u="none" strike="noStrike" kern="1200" spc="0" baseline="0">
                      <a:solidFill>
                        <a:schemeClr val="tx1"/>
                      </a:solidFill>
                      <a:latin typeface="+mn-lt"/>
                      <a:ea typeface="+mn-ea"/>
                      <a:cs typeface="+mn-cs"/>
                    </a:defRPr>
                  </a:pPr>
                  <a:endParaRPr lang="uk-UA"/>
                </a:p>
              </c:txPr>
              <c:dLblPos val="bestFit"/>
              <c:showLegendKey val="0"/>
              <c:showVal val="0"/>
              <c:showCatName val="0"/>
              <c:showSerName val="0"/>
              <c:showPercent val="1"/>
              <c:showBubbleSize val="0"/>
            </c:dLbl>
            <c:dLbl>
              <c:idx val="5"/>
              <c:layout/>
              <c:tx>
                <c:rich>
                  <a:bodyPr/>
                  <a:lstStyle/>
                  <a:p>
                    <a:r>
                      <a:rPr lang="en-US"/>
                      <a:t>3,1%</a:t>
                    </a:r>
                  </a:p>
                </c:rich>
              </c:tx>
              <c:dLblPos val="bestFit"/>
              <c:showLegendKey val="0"/>
              <c:showVal val="0"/>
              <c:showCatName val="0"/>
              <c:showSerName val="0"/>
              <c:showPercent val="0"/>
              <c:showBubbleSize val="0"/>
            </c:dLbl>
            <c:dLbl>
              <c:idx val="9"/>
              <c:layout>
                <c:manualLayout>
                  <c:x val="7.2492417292835384E-2"/>
                  <c:y val="-6.287919075475043E-2"/>
                </c:manualLayout>
              </c:layout>
              <c:dLblPos val="bestFit"/>
              <c:showLegendKey val="0"/>
              <c:showVal val="0"/>
              <c:showCatName val="0"/>
              <c:showSerName val="0"/>
              <c:showPercent val="1"/>
              <c:showBubbleSize val="0"/>
            </c:dLbl>
            <c:numFmt formatCode="0.0%" sourceLinked="0"/>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tx1"/>
                    </a:solidFill>
                    <a:latin typeface="+mn-lt"/>
                    <a:ea typeface="+mn-ea"/>
                    <a:cs typeface="+mn-cs"/>
                  </a:defRPr>
                </a:pPr>
                <a:endParaRPr lang="uk-UA"/>
              </a:p>
            </c:txPr>
            <c:dLblPos val="bestFit"/>
            <c:showLegendKey val="0"/>
            <c:showVal val="0"/>
            <c:showCatName val="0"/>
            <c:showSerName val="0"/>
            <c:showPercent val="1"/>
            <c:showBubbleSize val="0"/>
            <c:showLeaderLines val="1"/>
            <c:leaderLines>
              <c:spPr>
                <a:ln w="9472" cap="flat" cmpd="sng" algn="ctr">
                  <a:solidFill>
                    <a:schemeClr val="tx1">
                      <a:lumMod val="35000"/>
                      <a:lumOff val="65000"/>
                    </a:schemeClr>
                  </a:solidFill>
                  <a:round/>
                </a:ln>
                <a:effectLst/>
              </c:spPr>
            </c:leaderLines>
          </c:dLbls>
          <c:cat>
            <c:strRef>
              <c:f>Лист1!$A$2:$A$7</c:f>
              <c:strCache>
                <c:ptCount val="6"/>
                <c:pt idx="0">
                  <c:v>Податок на доходи фізичних осіб 183 541,9 тис. грн, 55,6 %</c:v>
                </c:pt>
                <c:pt idx="1">
                  <c:v>Рентна плата 25 769,4 тис. грн, 7,8 %</c:v>
                </c:pt>
                <c:pt idx="2">
                  <c:v>Акцизний податок 13 130,6 тис. грн, 4,0 %</c:v>
                </c:pt>
                <c:pt idx="3">
                  <c:v>Податок на  майно 43 796,0 тис. грн, 13,2 %</c:v>
                </c:pt>
                <c:pt idx="4">
                  <c:v>Єдиний податок 55 725,4 тис. грн, 16,9 %</c:v>
                </c:pt>
                <c:pt idx="5">
                  <c:v>Інші надходження 8 389,9 тис.грн, 2,5 %</c:v>
                </c:pt>
              </c:strCache>
            </c:strRef>
          </c:cat>
          <c:val>
            <c:numRef>
              <c:f>Лист1!$B$2:$B$7</c:f>
              <c:numCache>
                <c:formatCode>#,##0.0</c:formatCode>
                <c:ptCount val="6"/>
                <c:pt idx="0">
                  <c:v>183541.9</c:v>
                </c:pt>
                <c:pt idx="1">
                  <c:v>25769.4</c:v>
                </c:pt>
                <c:pt idx="2">
                  <c:v>13130.6</c:v>
                </c:pt>
                <c:pt idx="3">
                  <c:v>43796</c:v>
                </c:pt>
                <c:pt idx="4">
                  <c:v>55725.4</c:v>
                </c:pt>
                <c:pt idx="5">
                  <c:v>8389.9</c:v>
                </c:pt>
              </c:numCache>
            </c:numRef>
          </c:val>
        </c:ser>
        <c:ser>
          <c:idx val="1"/>
          <c:order val="1"/>
          <c:tx>
            <c:strRef>
              <c:f>Лист1!$C$1</c:f>
              <c:strCache>
                <c:ptCount val="1"/>
                <c:pt idx="0">
                  <c:v>Столбец2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dPt>
          <c:dPt>
            <c:idx val="2"/>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4"/>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5"/>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1"/>
                      </a:solidFill>
                      <a:latin typeface="+mn-lt"/>
                      <a:ea typeface="+mn-ea"/>
                      <a:cs typeface="+mn-cs"/>
                    </a:defRPr>
                  </a:pPr>
                  <a:endParaRPr lang="uk-UA"/>
                </a:p>
              </c:txPr>
              <c:dLblPos val="bestFit"/>
              <c:showLegendKey val="0"/>
              <c:showVal val="1"/>
              <c:showCatName val="0"/>
              <c:showSerName val="0"/>
              <c:showPercent val="0"/>
              <c:showBubbleSize val="0"/>
            </c:dLbl>
            <c:dLbl>
              <c:idx val="2"/>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2"/>
                      </a:solidFill>
                      <a:latin typeface="+mn-lt"/>
                      <a:ea typeface="+mn-ea"/>
                      <a:cs typeface="+mn-cs"/>
                    </a:defRPr>
                  </a:pPr>
                  <a:endParaRPr lang="uk-UA"/>
                </a:p>
              </c:txPr>
              <c:dLblPos val="bestFit"/>
              <c:showLegendKey val="0"/>
              <c:showVal val="1"/>
              <c:showCatName val="0"/>
              <c:showSerName val="0"/>
              <c:showPercent val="0"/>
              <c:showBubbleSize val="0"/>
            </c:dLbl>
            <c:dLbl>
              <c:idx val="3"/>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3"/>
                      </a:solidFill>
                      <a:latin typeface="+mn-lt"/>
                      <a:ea typeface="+mn-ea"/>
                      <a:cs typeface="+mn-cs"/>
                    </a:defRPr>
                  </a:pPr>
                  <a:endParaRPr lang="uk-UA"/>
                </a:p>
              </c:txPr>
              <c:dLblPos val="bestFit"/>
              <c:showLegendKey val="0"/>
              <c:showVal val="1"/>
              <c:showCatName val="0"/>
              <c:showSerName val="0"/>
              <c:showPercent val="0"/>
              <c:showBubbleSize val="0"/>
            </c:dLbl>
            <c:dLbl>
              <c:idx val="4"/>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4"/>
                      </a:solidFill>
                      <a:latin typeface="+mn-lt"/>
                      <a:ea typeface="+mn-ea"/>
                      <a:cs typeface="+mn-cs"/>
                    </a:defRPr>
                  </a:pPr>
                  <a:endParaRPr lang="uk-UA"/>
                </a:p>
              </c:txPr>
              <c:dLblPos val="bestFit"/>
              <c:showLegendKey val="0"/>
              <c:showVal val="1"/>
              <c:showCatName val="0"/>
              <c:showSerName val="0"/>
              <c:showPercent val="0"/>
              <c:showBubbleSize val="0"/>
            </c:dLbl>
            <c:dLbl>
              <c:idx val="5"/>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5"/>
                      </a:solidFill>
                      <a:latin typeface="+mn-lt"/>
                      <a:ea typeface="+mn-ea"/>
                      <a:cs typeface="+mn-cs"/>
                    </a:defRPr>
                  </a:pPr>
                  <a:endParaRPr lang="uk-UA"/>
                </a:p>
              </c:txPr>
              <c:dLblPos val="bestFit"/>
              <c:showLegendKey val="0"/>
              <c:showVal val="1"/>
              <c:showCatName val="0"/>
              <c:showSerName val="0"/>
              <c:showPercent val="0"/>
              <c:showBubbleSize val="0"/>
            </c:dLbl>
            <c:dLbl>
              <c:idx val="6"/>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6"/>
                      </a:solidFill>
                      <a:latin typeface="+mn-lt"/>
                      <a:ea typeface="+mn-ea"/>
                      <a:cs typeface="+mn-cs"/>
                    </a:defRPr>
                  </a:pPr>
                  <a:endParaRPr lang="uk-UA"/>
                </a:p>
              </c:txPr>
              <c:dLblPos val="bestFit"/>
              <c:showLegendKey val="0"/>
              <c:showVal val="1"/>
              <c:showCatName val="0"/>
              <c:showSerName val="0"/>
              <c:showPercent val="0"/>
              <c:showBubbleSize val="0"/>
            </c:dLbl>
            <c:dLbl>
              <c:idx val="7"/>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2">
                          <a:lumMod val="60000"/>
                        </a:schemeClr>
                      </a:solidFill>
                      <a:latin typeface="+mn-lt"/>
                      <a:ea typeface="+mn-ea"/>
                      <a:cs typeface="+mn-cs"/>
                    </a:defRPr>
                  </a:pPr>
                  <a:endParaRPr lang="uk-UA"/>
                </a:p>
              </c:txPr>
              <c:dLblPos val="bestFit"/>
              <c:showLegendKey val="0"/>
              <c:showVal val="1"/>
              <c:showCatName val="0"/>
              <c:showSerName val="0"/>
              <c:showPercent val="0"/>
              <c:showBubbleSize val="0"/>
            </c:dLbl>
            <c:dLbl>
              <c:idx val="8"/>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3">
                          <a:lumMod val="60000"/>
                        </a:schemeClr>
                      </a:solidFill>
                      <a:latin typeface="+mn-lt"/>
                      <a:ea typeface="+mn-ea"/>
                      <a:cs typeface="+mn-cs"/>
                    </a:defRPr>
                  </a:pPr>
                  <a:endParaRPr lang="uk-UA"/>
                </a:p>
              </c:txPr>
              <c:dLblPos val="bestFit"/>
              <c:showLegendKey val="0"/>
              <c:showVal val="1"/>
              <c:showCatName val="0"/>
              <c:showSerName val="0"/>
              <c:showPercent val="0"/>
              <c:showBubbleSize val="0"/>
            </c:dLbl>
            <c:dLbl>
              <c:idx val="9"/>
              <c:spPr>
                <a:noFill/>
                <a:ln w="25259">
                  <a:noFill/>
                </a:ln>
              </c:spPr>
              <c:txPr>
                <a:bodyPr rot="0" spcFirstLastPara="1" vertOverflow="ellipsis" vert="horz" wrap="square" lIns="38100" tIns="19050" rIns="38100" bIns="19050" anchor="ctr" anchorCtr="1">
                  <a:spAutoFit/>
                </a:bodyPr>
                <a:lstStyle/>
                <a:p>
                  <a:pPr>
                    <a:defRPr sz="994" b="1" i="0" u="none" strike="noStrike" kern="1200" spc="0" baseline="0">
                      <a:solidFill>
                        <a:schemeClr val="accent4">
                          <a:lumMod val="60000"/>
                        </a:schemeClr>
                      </a:solidFill>
                      <a:latin typeface="+mn-lt"/>
                      <a:ea typeface="+mn-ea"/>
                      <a:cs typeface="+mn-cs"/>
                    </a:defRPr>
                  </a:pPr>
                  <a:endParaRPr lang="uk-UA"/>
                </a:p>
              </c:txPr>
              <c:dLblPos val="bestFit"/>
              <c:showLegendKey val="0"/>
              <c:showVal val="1"/>
              <c:showCatName val="0"/>
              <c:showSerName val="0"/>
              <c:showPercent val="0"/>
              <c:showBubbleSize val="0"/>
            </c:dLbl>
            <c:spPr>
              <a:noFill/>
              <a:ln w="25259">
                <a:noFill/>
              </a:ln>
            </c:spPr>
            <c:dLblPos val="bestFit"/>
            <c:showLegendKey val="0"/>
            <c:showVal val="1"/>
            <c:showCatName val="0"/>
            <c:showSerName val="0"/>
            <c:showPercent val="0"/>
            <c:showBubbleSize val="0"/>
            <c:showLeaderLines val="1"/>
            <c:leaderLines>
              <c:spPr>
                <a:ln w="9472" cap="flat" cmpd="sng" algn="ctr">
                  <a:solidFill>
                    <a:schemeClr val="tx1">
                      <a:lumMod val="35000"/>
                      <a:lumOff val="65000"/>
                    </a:schemeClr>
                  </a:solidFill>
                  <a:round/>
                </a:ln>
                <a:effectLst/>
              </c:spPr>
            </c:leaderLines>
          </c:dLbls>
          <c:cat>
            <c:strRef>
              <c:f>Лист1!$A$2:$A$7</c:f>
              <c:strCache>
                <c:ptCount val="6"/>
                <c:pt idx="0">
                  <c:v>Податок на доходи фізичних осіб 183 541,9 тис. грн, 55,6 %</c:v>
                </c:pt>
                <c:pt idx="1">
                  <c:v>Рентна плата 25 769,4 тис. грн, 7,8 %</c:v>
                </c:pt>
                <c:pt idx="2">
                  <c:v>Акцизний податок 13 130,6 тис. грн, 4,0 %</c:v>
                </c:pt>
                <c:pt idx="3">
                  <c:v>Податок на  майно 43 796,0 тис. грн, 13,2 %</c:v>
                </c:pt>
                <c:pt idx="4">
                  <c:v>Єдиний податок 55 725,4 тис. грн, 16,9 %</c:v>
                </c:pt>
                <c:pt idx="5">
                  <c:v>Інші надходження 8 389,9 тис.грн, 2,5 %</c:v>
                </c:pt>
              </c:strCache>
            </c:strRef>
          </c:cat>
          <c:val>
            <c:numRef>
              <c:f>Лист1!$C$2:$C$7</c:f>
              <c:numCache>
                <c:formatCode>0.0</c:formatCode>
                <c:ptCount val="6"/>
                <c:pt idx="0">
                  <c:v>55.6</c:v>
                </c:pt>
                <c:pt idx="1">
                  <c:v>7.8</c:v>
                </c:pt>
                <c:pt idx="2">
                  <c:v>4</c:v>
                </c:pt>
                <c:pt idx="3">
                  <c:v>13.2</c:v>
                </c:pt>
                <c:pt idx="4">
                  <c:v>16.899999999999999</c:v>
                </c:pt>
                <c:pt idx="5">
                  <c:v>2.5</c:v>
                </c:pt>
              </c:numCache>
            </c:numRef>
          </c:val>
        </c:ser>
        <c:dLbls>
          <c:showLegendKey val="0"/>
          <c:showVal val="0"/>
          <c:showCatName val="0"/>
          <c:showSerName val="0"/>
          <c:showPercent val="0"/>
          <c:showBubbleSize val="0"/>
          <c:showLeaderLines val="1"/>
        </c:dLbls>
      </c:pie3DChart>
      <c:spPr>
        <a:noFill/>
        <a:ln w="25259">
          <a:noFill/>
        </a:ln>
      </c:spPr>
    </c:plotArea>
    <c:legend>
      <c:legendPos val="r"/>
      <c:layout>
        <c:manualLayout>
          <c:xMode val="edge"/>
          <c:yMode val="edge"/>
          <c:x val="0.59106075076607023"/>
          <c:y val="0.17473855950703043"/>
          <c:w val="0.40671553404524263"/>
          <c:h val="0.7834090236918767"/>
        </c:manualLayout>
      </c:layout>
      <c:overlay val="0"/>
      <c:spPr>
        <a:noFill/>
        <a:ln w="25259">
          <a:noFill/>
        </a:ln>
      </c:spPr>
      <c:txPr>
        <a:bodyPr rot="0" spcFirstLastPara="1" vertOverflow="ellipsis" vert="horz" wrap="square" anchor="ctr" anchorCtr="1"/>
        <a:lstStyle/>
        <a:p>
          <a:pPr>
            <a:defRPr sz="1094"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uk-UA"/>
        </a:p>
      </c:txPr>
    </c:legend>
    <c:plotVisOnly val="1"/>
    <c:dispBlanksAs val="zero"/>
    <c:showDLblsOverMax val="0"/>
  </c:chart>
  <c:spPr>
    <a:solidFill>
      <a:schemeClr val="bg1"/>
    </a:solidFill>
    <a:ln w="9472" cap="flat" cmpd="sng" algn="ctr">
      <a:solidFill>
        <a:sysClr val="windowText" lastClr="000000"/>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576</TotalTime>
  <Pages>6</Pages>
  <Words>10369</Words>
  <Characters>5911</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dc:creator>
  <cp:keywords/>
  <dc:description/>
  <cp:lastModifiedBy>budget4</cp:lastModifiedBy>
  <cp:revision>101</cp:revision>
  <cp:lastPrinted>2026-01-15T09:09:00Z</cp:lastPrinted>
  <dcterms:created xsi:type="dcterms:W3CDTF">2025-04-08T05:36:00Z</dcterms:created>
  <dcterms:modified xsi:type="dcterms:W3CDTF">2026-02-13T13:07:00Z</dcterms:modified>
</cp:coreProperties>
</file>