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34A59" w14:textId="23A2B4CB" w:rsidR="00533068" w:rsidRPr="009A46C5" w:rsidRDefault="009A46C5" w:rsidP="00533068">
      <w:pPr>
        <w:spacing w:after="120" w:line="240" w:lineRule="auto"/>
        <w:jc w:val="center"/>
        <w:rPr>
          <w:rFonts w:ascii="Arial" w:hAnsi="Arial" w:cs="Arial"/>
          <w:b/>
          <w:bCs/>
        </w:rPr>
      </w:pPr>
      <w:r w:rsidRPr="009A46C5">
        <w:rPr>
          <w:rFonts w:ascii="Arial" w:hAnsi="Arial" w:cs="Arial"/>
          <w:b/>
          <w:bCs/>
        </w:rPr>
        <w:t>РЕЗУЛЬТАТИ</w:t>
      </w:r>
    </w:p>
    <w:p w14:paraId="602F1266" w14:textId="6678046C" w:rsidR="00533068" w:rsidRPr="009A46C5" w:rsidRDefault="00533068" w:rsidP="00533068">
      <w:pPr>
        <w:spacing w:after="120" w:line="240" w:lineRule="auto"/>
        <w:jc w:val="center"/>
        <w:rPr>
          <w:rFonts w:ascii="Arial" w:hAnsi="Arial" w:cs="Arial"/>
          <w:b/>
          <w:bCs/>
        </w:rPr>
      </w:pPr>
      <w:r w:rsidRPr="009A46C5">
        <w:rPr>
          <w:rFonts w:ascii="Arial" w:hAnsi="Arial" w:cs="Arial"/>
          <w:b/>
          <w:bCs/>
        </w:rPr>
        <w:t xml:space="preserve">громадського обговорення </w:t>
      </w:r>
      <w:proofErr w:type="spellStart"/>
      <w:r w:rsidRPr="009A46C5">
        <w:rPr>
          <w:rFonts w:ascii="Arial" w:hAnsi="Arial" w:cs="Arial"/>
          <w:b/>
          <w:bCs/>
        </w:rPr>
        <w:t>проєкт</w:t>
      </w:r>
      <w:r w:rsidR="00A208C3">
        <w:rPr>
          <w:rFonts w:ascii="Arial" w:hAnsi="Arial" w:cs="Arial"/>
          <w:b/>
          <w:bCs/>
        </w:rPr>
        <w:t>ів</w:t>
      </w:r>
      <w:proofErr w:type="spellEnd"/>
      <w:r w:rsidRPr="009A46C5">
        <w:rPr>
          <w:rFonts w:ascii="Arial" w:hAnsi="Arial" w:cs="Arial"/>
          <w:b/>
          <w:bCs/>
        </w:rPr>
        <w:t xml:space="preserve"> Стратегії розвитку </w:t>
      </w:r>
      <w:r w:rsidR="0088055A">
        <w:rPr>
          <w:rFonts w:ascii="Arial" w:hAnsi="Arial" w:cs="Arial"/>
          <w:b/>
          <w:bCs/>
        </w:rPr>
        <w:t>Миколаїв</w:t>
      </w:r>
      <w:r w:rsidRPr="009A46C5">
        <w:rPr>
          <w:rFonts w:ascii="Arial" w:hAnsi="Arial" w:cs="Arial"/>
          <w:b/>
          <w:bCs/>
        </w:rPr>
        <w:t xml:space="preserve">ської міської територіальної громади на період до 2027 року та Плану заходів на 2024-2027 роки з реалізації Стратегії розвитку </w:t>
      </w:r>
      <w:r w:rsidR="0088055A">
        <w:rPr>
          <w:rFonts w:ascii="Arial" w:hAnsi="Arial" w:cs="Arial"/>
          <w:b/>
          <w:bCs/>
        </w:rPr>
        <w:t>Миколаїв</w:t>
      </w:r>
      <w:r w:rsidRPr="009A46C5">
        <w:rPr>
          <w:rFonts w:ascii="Arial" w:hAnsi="Arial" w:cs="Arial"/>
          <w:b/>
          <w:bCs/>
        </w:rPr>
        <w:t>ської міської територіальної громади на період до 2027 року</w:t>
      </w:r>
    </w:p>
    <w:p w14:paraId="57A69CD9" w14:textId="77777777" w:rsidR="00533068" w:rsidRPr="009A46C5" w:rsidRDefault="00533068" w:rsidP="00AD5190">
      <w:pPr>
        <w:spacing w:after="120" w:line="240" w:lineRule="auto"/>
        <w:rPr>
          <w:rFonts w:ascii="Arial" w:hAnsi="Arial" w:cs="Arial"/>
          <w:b/>
          <w:bCs/>
        </w:rPr>
      </w:pPr>
    </w:p>
    <w:p w14:paraId="64F8FD8B" w14:textId="440B5BC6" w:rsidR="00533068" w:rsidRDefault="00533068" w:rsidP="00533068">
      <w:pPr>
        <w:pStyle w:val="Default"/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9A46C5">
        <w:rPr>
          <w:rFonts w:ascii="Arial" w:hAnsi="Arial" w:cs="Arial"/>
          <w:b/>
          <w:bCs/>
          <w:sz w:val="22"/>
          <w:szCs w:val="22"/>
        </w:rPr>
        <w:t xml:space="preserve">1. Відомості про громадське обговорення </w:t>
      </w:r>
      <w:proofErr w:type="spellStart"/>
      <w:r w:rsidRPr="009A46C5">
        <w:rPr>
          <w:rFonts w:ascii="Arial" w:hAnsi="Arial" w:cs="Arial"/>
          <w:b/>
          <w:bCs/>
          <w:sz w:val="22"/>
          <w:szCs w:val="22"/>
        </w:rPr>
        <w:t>проєкт</w:t>
      </w:r>
      <w:r w:rsidR="00A208C3">
        <w:rPr>
          <w:rFonts w:ascii="Arial" w:hAnsi="Arial" w:cs="Arial"/>
          <w:b/>
          <w:bCs/>
          <w:sz w:val="22"/>
          <w:szCs w:val="22"/>
        </w:rPr>
        <w:t>ів</w:t>
      </w:r>
      <w:proofErr w:type="spellEnd"/>
      <w:r w:rsidRPr="009A46C5">
        <w:rPr>
          <w:rFonts w:ascii="Arial" w:hAnsi="Arial" w:cs="Arial"/>
          <w:b/>
          <w:bCs/>
          <w:sz w:val="22"/>
          <w:szCs w:val="22"/>
        </w:rPr>
        <w:t xml:space="preserve"> Стратегії розвитку </w:t>
      </w:r>
      <w:r w:rsidR="0088055A">
        <w:rPr>
          <w:rFonts w:ascii="Arial" w:hAnsi="Arial" w:cs="Arial"/>
          <w:b/>
          <w:bCs/>
          <w:sz w:val="22"/>
          <w:szCs w:val="22"/>
        </w:rPr>
        <w:t>Миколаїв</w:t>
      </w:r>
      <w:r w:rsidRPr="009A46C5">
        <w:rPr>
          <w:rFonts w:ascii="Arial" w:hAnsi="Arial" w:cs="Arial"/>
          <w:b/>
          <w:bCs/>
          <w:sz w:val="22"/>
          <w:szCs w:val="22"/>
        </w:rPr>
        <w:t xml:space="preserve">ської міської територіальної громади на період до 2027 року (далі – Стратегії) та Плану заходів на 2024-2027 роки з реалізації Стратегії розвитку </w:t>
      </w:r>
      <w:r w:rsidR="0088055A">
        <w:rPr>
          <w:rFonts w:ascii="Arial" w:hAnsi="Arial" w:cs="Arial"/>
          <w:b/>
          <w:bCs/>
          <w:sz w:val="22"/>
          <w:szCs w:val="22"/>
        </w:rPr>
        <w:t>Миколаїв</w:t>
      </w:r>
      <w:r w:rsidRPr="009A46C5">
        <w:rPr>
          <w:rFonts w:ascii="Arial" w:hAnsi="Arial" w:cs="Arial"/>
          <w:b/>
          <w:bCs/>
          <w:sz w:val="22"/>
          <w:szCs w:val="22"/>
        </w:rPr>
        <w:t>ської міської територіальної громади на період до 2027 року (далі – Плану заходів)</w:t>
      </w:r>
    </w:p>
    <w:p w14:paraId="07E247B2" w14:textId="77777777" w:rsidR="009A46C5" w:rsidRPr="009A46C5" w:rsidRDefault="009A46C5" w:rsidP="00533068">
      <w:pPr>
        <w:pStyle w:val="Default"/>
        <w:spacing w:after="120"/>
        <w:jc w:val="both"/>
        <w:rPr>
          <w:rFonts w:ascii="Arial" w:hAnsi="Arial" w:cs="Arial"/>
          <w:sz w:val="22"/>
          <w:szCs w:val="22"/>
        </w:rPr>
      </w:pPr>
    </w:p>
    <w:p w14:paraId="023DCDB8" w14:textId="254E93DB" w:rsidR="0088055A" w:rsidRPr="00A208C3" w:rsidRDefault="00533068" w:rsidP="0088055A">
      <w:pPr>
        <w:pStyle w:val="Default"/>
        <w:spacing w:after="120"/>
        <w:jc w:val="both"/>
        <w:rPr>
          <w:rFonts w:ascii="Arial" w:hAnsi="Arial" w:cs="Arial"/>
          <w:sz w:val="22"/>
          <w:szCs w:val="22"/>
        </w:rPr>
      </w:pPr>
      <w:proofErr w:type="spellStart"/>
      <w:r w:rsidRPr="009A46C5">
        <w:rPr>
          <w:rFonts w:ascii="Arial" w:hAnsi="Arial" w:cs="Arial"/>
          <w:sz w:val="22"/>
          <w:szCs w:val="22"/>
        </w:rPr>
        <w:t>Проєкт</w:t>
      </w:r>
      <w:r w:rsidR="00A208C3">
        <w:rPr>
          <w:rFonts w:ascii="Arial" w:hAnsi="Arial" w:cs="Arial"/>
          <w:sz w:val="22"/>
          <w:szCs w:val="22"/>
        </w:rPr>
        <w:t>и</w:t>
      </w:r>
      <w:proofErr w:type="spellEnd"/>
      <w:r w:rsidRPr="009A46C5">
        <w:rPr>
          <w:rFonts w:ascii="Arial" w:hAnsi="Arial" w:cs="Arial"/>
          <w:sz w:val="22"/>
          <w:szCs w:val="22"/>
        </w:rPr>
        <w:t xml:space="preserve"> Стратегії та Плану заходів було розміщено </w:t>
      </w:r>
      <w:r w:rsidR="0088055A" w:rsidRPr="00A208C3">
        <w:rPr>
          <w:rFonts w:ascii="Arial" w:hAnsi="Arial" w:cs="Arial"/>
          <w:sz w:val="22"/>
          <w:szCs w:val="22"/>
        </w:rPr>
        <w:t>22.09.2023</w:t>
      </w:r>
      <w:r w:rsidRPr="00A208C3">
        <w:rPr>
          <w:rFonts w:ascii="Arial" w:hAnsi="Arial" w:cs="Arial"/>
          <w:sz w:val="22"/>
          <w:szCs w:val="22"/>
        </w:rPr>
        <w:t xml:space="preserve"> </w:t>
      </w:r>
      <w:r w:rsidRPr="009A46C5">
        <w:rPr>
          <w:rFonts w:ascii="Arial" w:hAnsi="Arial" w:cs="Arial"/>
          <w:sz w:val="22"/>
          <w:szCs w:val="22"/>
        </w:rPr>
        <w:t xml:space="preserve">на офіційному сайті </w:t>
      </w:r>
      <w:r w:rsidR="0088055A" w:rsidRPr="00A208C3">
        <w:rPr>
          <w:rFonts w:ascii="Arial" w:hAnsi="Arial" w:cs="Arial"/>
          <w:sz w:val="22"/>
          <w:szCs w:val="22"/>
        </w:rPr>
        <w:t>Миколаїв</w:t>
      </w:r>
      <w:r w:rsidRPr="00A208C3">
        <w:rPr>
          <w:rFonts w:ascii="Arial" w:hAnsi="Arial" w:cs="Arial"/>
          <w:sz w:val="22"/>
          <w:szCs w:val="22"/>
        </w:rPr>
        <w:t xml:space="preserve">ської міської ради </w:t>
      </w:r>
      <w:hyperlink r:id="rId5" w:history="1">
        <w:r w:rsidR="0088055A" w:rsidRPr="00A208C3">
          <w:rPr>
            <w:rFonts w:ascii="Arial" w:hAnsi="Arial" w:cs="Arial"/>
            <w:sz w:val="22"/>
            <w:szCs w:val="22"/>
            <w:u w:val="single"/>
          </w:rPr>
          <w:t>https://mykolaivmr.gov.ua/catp/strategiya-rozvytku-gromady/</w:t>
        </w:r>
      </w:hyperlink>
      <w:r w:rsidR="0088055A" w:rsidRPr="00A208C3">
        <w:rPr>
          <w:rFonts w:ascii="Arial" w:hAnsi="Arial" w:cs="Arial"/>
          <w:sz w:val="22"/>
          <w:szCs w:val="22"/>
        </w:rPr>
        <w:t xml:space="preserve"> </w:t>
      </w:r>
    </w:p>
    <w:p w14:paraId="0AC5838E" w14:textId="34BC9BCC" w:rsidR="00D75A36" w:rsidRPr="00A208C3" w:rsidRDefault="00D75A36" w:rsidP="0088055A">
      <w:pPr>
        <w:pStyle w:val="Default"/>
        <w:spacing w:after="120"/>
        <w:jc w:val="both"/>
        <w:rPr>
          <w:rFonts w:ascii="Arial" w:hAnsi="Arial" w:cs="Arial"/>
          <w:sz w:val="22"/>
          <w:szCs w:val="22"/>
        </w:rPr>
      </w:pPr>
      <w:r w:rsidRPr="00A208C3">
        <w:rPr>
          <w:rFonts w:ascii="Arial" w:hAnsi="Arial" w:cs="Arial"/>
          <w:sz w:val="22"/>
          <w:szCs w:val="22"/>
        </w:rPr>
        <w:t xml:space="preserve">Звіт про стратегічну екологічну оцінку </w:t>
      </w:r>
      <w:proofErr w:type="spellStart"/>
      <w:r w:rsidRPr="00A208C3">
        <w:rPr>
          <w:rFonts w:ascii="Arial" w:hAnsi="Arial" w:cs="Arial"/>
          <w:sz w:val="22"/>
          <w:szCs w:val="22"/>
        </w:rPr>
        <w:t>проєкту</w:t>
      </w:r>
      <w:proofErr w:type="spellEnd"/>
      <w:r w:rsidRPr="00A208C3">
        <w:rPr>
          <w:rFonts w:ascii="Arial" w:hAnsi="Arial" w:cs="Arial"/>
          <w:sz w:val="22"/>
          <w:szCs w:val="22"/>
        </w:rPr>
        <w:t xml:space="preserve"> Стратегії розвитку </w:t>
      </w:r>
      <w:r w:rsidR="0088055A" w:rsidRPr="00A208C3">
        <w:rPr>
          <w:rFonts w:ascii="Arial" w:hAnsi="Arial" w:cs="Arial"/>
          <w:sz w:val="22"/>
          <w:szCs w:val="22"/>
        </w:rPr>
        <w:t>Миколаїв</w:t>
      </w:r>
      <w:r w:rsidRPr="00A208C3">
        <w:rPr>
          <w:rFonts w:ascii="Arial" w:hAnsi="Arial" w:cs="Arial"/>
          <w:sz w:val="22"/>
          <w:szCs w:val="22"/>
        </w:rPr>
        <w:t xml:space="preserve">ської міської територіальної громади на період до 2027 року та Плану заходів на 2024-2027 роки з реалізації Стратегії розвитку </w:t>
      </w:r>
      <w:r w:rsidR="0088055A" w:rsidRPr="00A208C3">
        <w:rPr>
          <w:rFonts w:ascii="Arial" w:hAnsi="Arial" w:cs="Arial"/>
          <w:sz w:val="22"/>
          <w:szCs w:val="22"/>
        </w:rPr>
        <w:t>Миколаїв</w:t>
      </w:r>
      <w:r w:rsidRPr="00A208C3">
        <w:rPr>
          <w:rFonts w:ascii="Arial" w:hAnsi="Arial" w:cs="Arial"/>
          <w:sz w:val="22"/>
          <w:szCs w:val="22"/>
        </w:rPr>
        <w:t>ської міської територіальної громади на період до 2027 року (далі</w:t>
      </w:r>
      <w:r w:rsidR="00A208C3">
        <w:rPr>
          <w:rFonts w:ascii="Arial" w:hAnsi="Arial" w:cs="Arial"/>
          <w:sz w:val="22"/>
          <w:szCs w:val="22"/>
        </w:rPr>
        <w:t> </w:t>
      </w:r>
      <w:r w:rsidRPr="00A208C3">
        <w:rPr>
          <w:rFonts w:ascii="Arial" w:hAnsi="Arial" w:cs="Arial"/>
          <w:sz w:val="22"/>
          <w:szCs w:val="22"/>
        </w:rPr>
        <w:t>– Звіт) та сам</w:t>
      </w:r>
      <w:r w:rsidR="00E03526" w:rsidRPr="00A208C3">
        <w:rPr>
          <w:rFonts w:ascii="Arial" w:hAnsi="Arial" w:cs="Arial"/>
          <w:sz w:val="22"/>
          <w:szCs w:val="22"/>
        </w:rPr>
        <w:t>і</w:t>
      </w:r>
      <w:r w:rsidRPr="00A208C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03526" w:rsidRPr="00A208C3">
        <w:rPr>
          <w:rFonts w:ascii="Arial" w:hAnsi="Arial" w:cs="Arial"/>
          <w:sz w:val="22"/>
          <w:szCs w:val="22"/>
        </w:rPr>
        <w:t>п</w:t>
      </w:r>
      <w:r w:rsidRPr="00A208C3">
        <w:rPr>
          <w:rFonts w:ascii="Arial" w:hAnsi="Arial" w:cs="Arial"/>
          <w:sz w:val="22"/>
          <w:szCs w:val="22"/>
        </w:rPr>
        <w:t>роєкт</w:t>
      </w:r>
      <w:r w:rsidR="00E03526" w:rsidRPr="00A208C3">
        <w:rPr>
          <w:rFonts w:ascii="Arial" w:hAnsi="Arial" w:cs="Arial"/>
          <w:sz w:val="22"/>
          <w:szCs w:val="22"/>
        </w:rPr>
        <w:t>и</w:t>
      </w:r>
      <w:proofErr w:type="spellEnd"/>
      <w:r w:rsidRPr="00A208C3">
        <w:rPr>
          <w:rFonts w:ascii="Arial" w:hAnsi="Arial" w:cs="Arial"/>
          <w:sz w:val="22"/>
          <w:szCs w:val="22"/>
        </w:rPr>
        <w:t xml:space="preserve">, а також повідомлення про їх оприлюднення було розміщено 13.11.2023 на офіційному сайті </w:t>
      </w:r>
      <w:r w:rsidR="0088055A" w:rsidRPr="00A208C3">
        <w:rPr>
          <w:rFonts w:ascii="Arial" w:hAnsi="Arial" w:cs="Arial"/>
          <w:sz w:val="22"/>
          <w:szCs w:val="22"/>
        </w:rPr>
        <w:t>Миколаїв</w:t>
      </w:r>
      <w:r w:rsidRPr="00A208C3">
        <w:rPr>
          <w:rFonts w:ascii="Arial" w:hAnsi="Arial" w:cs="Arial"/>
          <w:sz w:val="22"/>
          <w:szCs w:val="22"/>
        </w:rPr>
        <w:t xml:space="preserve">ської міської ради та </w:t>
      </w:r>
      <w:proofErr w:type="spellStart"/>
      <w:r w:rsidRPr="00A208C3">
        <w:rPr>
          <w:rFonts w:ascii="Arial" w:hAnsi="Arial" w:cs="Arial"/>
          <w:sz w:val="22"/>
          <w:szCs w:val="22"/>
        </w:rPr>
        <w:t>внесено</w:t>
      </w:r>
      <w:proofErr w:type="spellEnd"/>
      <w:r w:rsidRPr="00A208C3">
        <w:rPr>
          <w:rFonts w:ascii="Arial" w:hAnsi="Arial" w:cs="Arial"/>
          <w:sz w:val="22"/>
          <w:szCs w:val="22"/>
        </w:rPr>
        <w:t xml:space="preserve"> до Єдиного реєстру стратегічної екологічної оцінки </w:t>
      </w:r>
      <w:r w:rsidR="0088055A" w:rsidRPr="00A208C3">
        <w:rPr>
          <w:rFonts w:ascii="Arial" w:hAnsi="Arial" w:cs="Arial"/>
          <w:sz w:val="22"/>
          <w:szCs w:val="22"/>
        </w:rPr>
        <w:t>03.10.2023</w:t>
      </w:r>
      <w:r w:rsidRPr="00A208C3">
        <w:rPr>
          <w:rFonts w:ascii="Arial" w:hAnsi="Arial" w:cs="Arial"/>
          <w:sz w:val="22"/>
          <w:szCs w:val="22"/>
        </w:rPr>
        <w:t xml:space="preserve">. Крім того, повідомлення про оприлюднення Звіту та </w:t>
      </w:r>
      <w:proofErr w:type="spellStart"/>
      <w:r w:rsidR="00E03526" w:rsidRPr="00A208C3">
        <w:rPr>
          <w:rFonts w:ascii="Arial" w:hAnsi="Arial" w:cs="Arial"/>
          <w:sz w:val="22"/>
          <w:szCs w:val="22"/>
        </w:rPr>
        <w:t>п</w:t>
      </w:r>
      <w:r w:rsidRPr="00A208C3">
        <w:rPr>
          <w:rFonts w:ascii="Arial" w:hAnsi="Arial" w:cs="Arial"/>
          <w:sz w:val="22"/>
          <w:szCs w:val="22"/>
        </w:rPr>
        <w:t>роєкт</w:t>
      </w:r>
      <w:r w:rsidR="00E03526" w:rsidRPr="00A208C3">
        <w:rPr>
          <w:rFonts w:ascii="Arial" w:hAnsi="Arial" w:cs="Arial"/>
          <w:sz w:val="22"/>
          <w:szCs w:val="22"/>
        </w:rPr>
        <w:t>ів</w:t>
      </w:r>
      <w:proofErr w:type="spellEnd"/>
      <w:r w:rsidRPr="00A208C3">
        <w:rPr>
          <w:rFonts w:ascii="Arial" w:hAnsi="Arial" w:cs="Arial"/>
          <w:sz w:val="22"/>
          <w:szCs w:val="22"/>
        </w:rPr>
        <w:t xml:space="preserve"> було розміщено на дошках оголошень у </w:t>
      </w:r>
      <w:proofErr w:type="spellStart"/>
      <w:r w:rsidRPr="00A208C3">
        <w:rPr>
          <w:rFonts w:ascii="Arial" w:hAnsi="Arial" w:cs="Arial"/>
          <w:sz w:val="22"/>
          <w:szCs w:val="22"/>
        </w:rPr>
        <w:t>старостинських</w:t>
      </w:r>
      <w:proofErr w:type="spellEnd"/>
      <w:r w:rsidRPr="00A208C3">
        <w:rPr>
          <w:rFonts w:ascii="Arial" w:hAnsi="Arial" w:cs="Arial"/>
          <w:sz w:val="22"/>
          <w:szCs w:val="22"/>
        </w:rPr>
        <w:t xml:space="preserve"> округах та </w:t>
      </w:r>
      <w:proofErr w:type="spellStart"/>
      <w:r w:rsidRPr="00A208C3">
        <w:rPr>
          <w:rFonts w:ascii="Arial" w:hAnsi="Arial" w:cs="Arial"/>
          <w:sz w:val="22"/>
          <w:szCs w:val="22"/>
        </w:rPr>
        <w:t>внесено</w:t>
      </w:r>
      <w:proofErr w:type="spellEnd"/>
      <w:r w:rsidRPr="00A208C3">
        <w:rPr>
          <w:rFonts w:ascii="Arial" w:hAnsi="Arial" w:cs="Arial"/>
          <w:sz w:val="22"/>
          <w:szCs w:val="22"/>
        </w:rPr>
        <w:t xml:space="preserve"> до Єдиного реєстру стратегічної екологічної оцінки. Процедура консультацій з органами виконавчої влади тривала з </w:t>
      </w:r>
      <w:r w:rsidR="0088055A" w:rsidRPr="00A208C3">
        <w:rPr>
          <w:rFonts w:ascii="Arial" w:hAnsi="Arial" w:cs="Arial"/>
          <w:sz w:val="22"/>
          <w:szCs w:val="22"/>
        </w:rPr>
        <w:t>03.10.2023 р. до 03.11.2023</w:t>
      </w:r>
      <w:r w:rsidR="0088055A" w:rsidRPr="00A208C3">
        <w:rPr>
          <w:rFonts w:ascii="Arial" w:hAnsi="Arial" w:cs="Arial"/>
          <w:sz w:val="22"/>
          <w:szCs w:val="22"/>
        </w:rPr>
        <w:t xml:space="preserve"> </w:t>
      </w:r>
      <w:r w:rsidRPr="00A208C3">
        <w:rPr>
          <w:rFonts w:ascii="Arial" w:hAnsi="Arial" w:cs="Arial"/>
          <w:sz w:val="22"/>
          <w:szCs w:val="22"/>
        </w:rPr>
        <w:t>р.</w:t>
      </w:r>
    </w:p>
    <w:p w14:paraId="5654A1A5" w14:textId="432AFA0C" w:rsidR="00D75A36" w:rsidRPr="00A208C3" w:rsidRDefault="00D75A36" w:rsidP="009A46C5">
      <w:pPr>
        <w:spacing w:after="120" w:line="240" w:lineRule="auto"/>
        <w:ind w:right="-2"/>
        <w:jc w:val="both"/>
        <w:rPr>
          <w:rFonts w:ascii="Arial" w:hAnsi="Arial" w:cs="Arial"/>
          <w:color w:val="000000"/>
          <w:kern w:val="0"/>
        </w:rPr>
      </w:pPr>
      <w:r w:rsidRPr="00A208C3">
        <w:rPr>
          <w:rFonts w:ascii="Arial" w:hAnsi="Arial" w:cs="Arial"/>
          <w:color w:val="000000"/>
          <w:kern w:val="0"/>
        </w:rPr>
        <w:t xml:space="preserve">Відтак, громадське обговорення </w:t>
      </w:r>
      <w:proofErr w:type="spellStart"/>
      <w:r w:rsidRPr="00A208C3">
        <w:rPr>
          <w:rFonts w:ascii="Arial" w:hAnsi="Arial" w:cs="Arial"/>
          <w:color w:val="000000"/>
          <w:kern w:val="0"/>
        </w:rPr>
        <w:t>проєкт</w:t>
      </w:r>
      <w:r w:rsidR="00E03526" w:rsidRPr="00A208C3">
        <w:rPr>
          <w:rFonts w:ascii="Arial" w:hAnsi="Arial" w:cs="Arial"/>
          <w:color w:val="000000"/>
          <w:kern w:val="0"/>
        </w:rPr>
        <w:t>ів</w:t>
      </w:r>
      <w:proofErr w:type="spellEnd"/>
      <w:r w:rsidRPr="00A208C3">
        <w:rPr>
          <w:rFonts w:ascii="Arial" w:hAnsi="Arial" w:cs="Arial"/>
          <w:color w:val="000000"/>
          <w:kern w:val="0"/>
        </w:rPr>
        <w:t xml:space="preserve"> тривало сукупно </w:t>
      </w:r>
      <w:r w:rsidR="0088055A" w:rsidRPr="00A208C3">
        <w:rPr>
          <w:rFonts w:ascii="Arial" w:hAnsi="Arial" w:cs="Arial"/>
          <w:color w:val="000000"/>
          <w:kern w:val="0"/>
        </w:rPr>
        <w:t>43</w:t>
      </w:r>
      <w:r w:rsidRPr="00A208C3">
        <w:rPr>
          <w:rFonts w:ascii="Arial" w:hAnsi="Arial" w:cs="Arial"/>
          <w:color w:val="000000"/>
          <w:kern w:val="0"/>
        </w:rPr>
        <w:t xml:space="preserve"> дні – з </w:t>
      </w:r>
      <w:r w:rsidR="0088055A" w:rsidRPr="00A208C3">
        <w:rPr>
          <w:rFonts w:ascii="Arial" w:hAnsi="Arial" w:cs="Arial"/>
          <w:color w:val="000000"/>
          <w:kern w:val="0"/>
        </w:rPr>
        <w:t>22</w:t>
      </w:r>
      <w:r w:rsidRPr="00A208C3">
        <w:rPr>
          <w:rFonts w:ascii="Arial" w:hAnsi="Arial" w:cs="Arial"/>
          <w:color w:val="000000"/>
          <w:kern w:val="0"/>
        </w:rPr>
        <w:t>.</w:t>
      </w:r>
      <w:r w:rsidR="0088055A" w:rsidRPr="00A208C3">
        <w:rPr>
          <w:rFonts w:ascii="Arial" w:hAnsi="Arial" w:cs="Arial"/>
          <w:color w:val="000000"/>
          <w:kern w:val="0"/>
        </w:rPr>
        <w:t>09</w:t>
      </w:r>
      <w:r w:rsidRPr="00A208C3">
        <w:rPr>
          <w:rFonts w:ascii="Arial" w:hAnsi="Arial" w:cs="Arial"/>
          <w:color w:val="000000"/>
          <w:kern w:val="0"/>
        </w:rPr>
        <w:t xml:space="preserve">.2023 (від моменту оприлюднення на офіційному сайті </w:t>
      </w:r>
      <w:r w:rsidR="0088055A" w:rsidRPr="00A208C3">
        <w:rPr>
          <w:rFonts w:ascii="Arial" w:hAnsi="Arial" w:cs="Arial"/>
          <w:color w:val="000000"/>
          <w:kern w:val="0"/>
        </w:rPr>
        <w:t>Миколаїв</w:t>
      </w:r>
      <w:r w:rsidRPr="00A208C3">
        <w:rPr>
          <w:rFonts w:ascii="Arial" w:hAnsi="Arial" w:cs="Arial"/>
          <w:color w:val="000000"/>
          <w:kern w:val="0"/>
        </w:rPr>
        <w:t>ської міської ради та розміщення на дошках оголошень).</w:t>
      </w:r>
    </w:p>
    <w:p w14:paraId="07CA2697" w14:textId="1878842A" w:rsidR="00D75A36" w:rsidRPr="00A208C3" w:rsidRDefault="00D75A36" w:rsidP="009A46C5">
      <w:pPr>
        <w:spacing w:after="120" w:line="240" w:lineRule="auto"/>
        <w:ind w:right="-2"/>
        <w:jc w:val="both"/>
        <w:rPr>
          <w:rFonts w:ascii="Arial" w:hAnsi="Arial" w:cs="Arial"/>
          <w:color w:val="000000"/>
          <w:kern w:val="0"/>
        </w:rPr>
      </w:pPr>
      <w:r w:rsidRPr="00A208C3">
        <w:rPr>
          <w:rFonts w:ascii="Arial" w:hAnsi="Arial" w:cs="Arial"/>
          <w:color w:val="000000"/>
          <w:kern w:val="0"/>
        </w:rPr>
        <w:t xml:space="preserve">Громадське обговорення Звіту про СЕО та </w:t>
      </w:r>
      <w:proofErr w:type="spellStart"/>
      <w:r w:rsidR="00E03526" w:rsidRPr="00A208C3">
        <w:rPr>
          <w:rFonts w:ascii="Arial" w:hAnsi="Arial" w:cs="Arial"/>
          <w:color w:val="000000"/>
          <w:kern w:val="0"/>
        </w:rPr>
        <w:t>п</w:t>
      </w:r>
      <w:r w:rsidRPr="00A208C3">
        <w:rPr>
          <w:rFonts w:ascii="Arial" w:hAnsi="Arial" w:cs="Arial"/>
          <w:color w:val="000000"/>
          <w:kern w:val="0"/>
        </w:rPr>
        <w:t>роєкт</w:t>
      </w:r>
      <w:r w:rsidR="00E03526" w:rsidRPr="00A208C3">
        <w:rPr>
          <w:rFonts w:ascii="Arial" w:hAnsi="Arial" w:cs="Arial"/>
          <w:color w:val="000000"/>
          <w:kern w:val="0"/>
        </w:rPr>
        <w:t>ів</w:t>
      </w:r>
      <w:proofErr w:type="spellEnd"/>
      <w:r w:rsidRPr="00A208C3">
        <w:rPr>
          <w:rFonts w:ascii="Arial" w:hAnsi="Arial" w:cs="Arial"/>
          <w:color w:val="000000"/>
          <w:kern w:val="0"/>
        </w:rPr>
        <w:t xml:space="preserve"> тривало 30 днів з </w:t>
      </w:r>
      <w:r w:rsidR="0088055A" w:rsidRPr="00A208C3">
        <w:rPr>
          <w:rFonts w:ascii="Arial" w:hAnsi="Arial" w:cs="Arial"/>
          <w:color w:val="000000"/>
          <w:kern w:val="0"/>
        </w:rPr>
        <w:t>03.10.2023 р. до 03.11.2023</w:t>
      </w:r>
      <w:r w:rsidR="0088055A" w:rsidRPr="00A208C3">
        <w:rPr>
          <w:rFonts w:ascii="Arial" w:hAnsi="Arial" w:cs="Arial"/>
          <w:color w:val="000000"/>
          <w:kern w:val="0"/>
        </w:rPr>
        <w:t xml:space="preserve"> р. </w:t>
      </w:r>
      <w:r w:rsidRPr="00A208C3">
        <w:rPr>
          <w:rFonts w:ascii="Arial" w:hAnsi="Arial" w:cs="Arial"/>
          <w:color w:val="000000"/>
          <w:kern w:val="0"/>
        </w:rPr>
        <w:t xml:space="preserve">від моменту оприлюднення на офіційному сайті </w:t>
      </w:r>
      <w:r w:rsidR="0088055A" w:rsidRPr="00A208C3">
        <w:rPr>
          <w:rFonts w:ascii="Arial" w:hAnsi="Arial" w:cs="Arial"/>
          <w:color w:val="000000"/>
          <w:kern w:val="0"/>
        </w:rPr>
        <w:t>Миколаїв</w:t>
      </w:r>
      <w:r w:rsidRPr="00A208C3">
        <w:rPr>
          <w:rFonts w:ascii="Arial" w:hAnsi="Arial" w:cs="Arial"/>
          <w:color w:val="000000"/>
          <w:kern w:val="0"/>
        </w:rPr>
        <w:t>ської міської ради та розміщення на дошках оголошень, а також внесення до Єдиного реєстру стратегічної екологічної оцінки.</w:t>
      </w:r>
    </w:p>
    <w:p w14:paraId="56CC8EF5" w14:textId="75DB847B" w:rsidR="00D75A36" w:rsidRPr="00A208C3" w:rsidRDefault="00D75A36" w:rsidP="009A46C5">
      <w:pPr>
        <w:spacing w:after="120" w:line="240" w:lineRule="auto"/>
        <w:ind w:right="-2"/>
        <w:jc w:val="both"/>
        <w:rPr>
          <w:rFonts w:ascii="Arial" w:hAnsi="Arial" w:cs="Arial"/>
          <w:color w:val="000000"/>
          <w:kern w:val="0"/>
        </w:rPr>
      </w:pPr>
      <w:r w:rsidRPr="00A208C3">
        <w:rPr>
          <w:rFonts w:ascii="Arial" w:hAnsi="Arial" w:cs="Arial"/>
          <w:color w:val="000000"/>
          <w:kern w:val="0"/>
        </w:rPr>
        <w:t xml:space="preserve">Відповідно до Повідомлення про оприлюднення, громадськість в межах строку громадського обговорення мала право подати зауваження та пропозиції до Звіту та </w:t>
      </w:r>
      <w:proofErr w:type="spellStart"/>
      <w:r w:rsidRPr="00A208C3">
        <w:rPr>
          <w:rFonts w:ascii="Arial" w:hAnsi="Arial" w:cs="Arial"/>
          <w:color w:val="000000"/>
          <w:kern w:val="0"/>
        </w:rPr>
        <w:t>Проєкту</w:t>
      </w:r>
      <w:proofErr w:type="spellEnd"/>
      <w:r w:rsidRPr="00A208C3">
        <w:rPr>
          <w:rFonts w:ascii="Arial" w:hAnsi="Arial" w:cs="Arial"/>
          <w:color w:val="000000"/>
          <w:kern w:val="0"/>
        </w:rPr>
        <w:t xml:space="preserve"> в письмовій формі (в електронному вигляді на адресу: </w:t>
      </w:r>
      <w:r w:rsidR="0088055A" w:rsidRPr="00A208C3">
        <w:rPr>
          <w:rFonts w:ascii="Arial" w:hAnsi="Arial" w:cs="Arial"/>
          <w:color w:val="000000"/>
          <w:kern w:val="0"/>
        </w:rPr>
        <w:t>ekonomika@mykolaivmr.gov.ua</w:t>
      </w:r>
      <w:r w:rsidRPr="00A208C3">
        <w:rPr>
          <w:rFonts w:ascii="Arial" w:hAnsi="Arial" w:cs="Arial"/>
          <w:color w:val="000000"/>
          <w:kern w:val="0"/>
        </w:rPr>
        <w:t xml:space="preserve">) </w:t>
      </w:r>
      <w:hyperlink r:id="rId6" w:history="1">
        <w:r w:rsidR="0088055A" w:rsidRPr="00A208C3">
          <w:rPr>
            <w:rFonts w:ascii="Arial" w:hAnsi="Arial" w:cs="Arial"/>
            <w:color w:val="000000"/>
            <w:kern w:val="0"/>
            <w:u w:val="single"/>
          </w:rPr>
          <w:t>https://mykolaivmr.gov.ua/inst/povidomlennya-pro-oprylyudnennya-proyektu-dokumenta-derzhavnogo-planuvannya-ta-zvitu-pro-strategichnu-ekologichnu-oczinku/</w:t>
        </w:r>
      </w:hyperlink>
      <w:r w:rsidR="0088055A" w:rsidRPr="00A208C3">
        <w:rPr>
          <w:rFonts w:ascii="Arial" w:hAnsi="Arial" w:cs="Arial"/>
          <w:color w:val="000000"/>
          <w:kern w:val="0"/>
        </w:rPr>
        <w:t xml:space="preserve"> </w:t>
      </w:r>
      <w:r w:rsidRPr="00A208C3">
        <w:rPr>
          <w:rFonts w:ascii="Arial" w:hAnsi="Arial" w:cs="Arial"/>
          <w:color w:val="000000"/>
          <w:kern w:val="0"/>
        </w:rPr>
        <w:t xml:space="preserve">. </w:t>
      </w:r>
    </w:p>
    <w:p w14:paraId="009533F6" w14:textId="4623B21D" w:rsidR="00D75A36" w:rsidRPr="00A208C3" w:rsidRDefault="00D75A36" w:rsidP="009A46C5">
      <w:pPr>
        <w:spacing w:after="120" w:line="240" w:lineRule="auto"/>
        <w:ind w:right="-2"/>
        <w:jc w:val="both"/>
        <w:rPr>
          <w:rFonts w:ascii="Arial" w:hAnsi="Arial" w:cs="Arial"/>
          <w:color w:val="000000"/>
          <w:kern w:val="0"/>
        </w:rPr>
      </w:pPr>
      <w:r w:rsidRPr="00A208C3">
        <w:rPr>
          <w:rFonts w:ascii="Arial" w:hAnsi="Arial" w:cs="Arial"/>
          <w:color w:val="000000"/>
          <w:kern w:val="0"/>
        </w:rPr>
        <w:t xml:space="preserve">Орган, до якого подавалися зауваження і пропозиції – </w:t>
      </w:r>
      <w:r w:rsidR="0088055A" w:rsidRPr="00A208C3">
        <w:rPr>
          <w:rFonts w:ascii="Arial" w:hAnsi="Arial" w:cs="Arial"/>
          <w:color w:val="000000"/>
          <w:kern w:val="0"/>
        </w:rPr>
        <w:t xml:space="preserve">відділ економіки, </w:t>
      </w:r>
      <w:proofErr w:type="spellStart"/>
      <w:r w:rsidR="0088055A" w:rsidRPr="00A208C3">
        <w:rPr>
          <w:rFonts w:ascii="Arial" w:hAnsi="Arial" w:cs="Arial"/>
          <w:color w:val="000000"/>
          <w:kern w:val="0"/>
        </w:rPr>
        <w:t>закупівель</w:t>
      </w:r>
      <w:proofErr w:type="spellEnd"/>
      <w:r w:rsidR="0088055A" w:rsidRPr="00A208C3">
        <w:rPr>
          <w:rFonts w:ascii="Arial" w:hAnsi="Arial" w:cs="Arial"/>
          <w:color w:val="000000"/>
          <w:kern w:val="0"/>
        </w:rPr>
        <w:t xml:space="preserve"> та інвестиційної діяльності Миколаївської міської ради</w:t>
      </w:r>
      <w:r w:rsidRPr="00A208C3">
        <w:rPr>
          <w:rFonts w:ascii="Arial" w:hAnsi="Arial" w:cs="Arial"/>
          <w:color w:val="000000"/>
          <w:kern w:val="0"/>
        </w:rPr>
        <w:t>.</w:t>
      </w:r>
    </w:p>
    <w:p w14:paraId="5197C15A" w14:textId="08716994" w:rsidR="00533068" w:rsidRPr="009A46C5" w:rsidRDefault="00533068" w:rsidP="00533068">
      <w:pPr>
        <w:pStyle w:val="Default"/>
        <w:spacing w:after="120"/>
        <w:jc w:val="both"/>
        <w:rPr>
          <w:rFonts w:ascii="Arial" w:hAnsi="Arial" w:cs="Arial"/>
          <w:sz w:val="22"/>
          <w:szCs w:val="22"/>
        </w:rPr>
      </w:pPr>
      <w:r w:rsidRPr="009A46C5">
        <w:rPr>
          <w:rFonts w:ascii="Arial" w:hAnsi="Arial" w:cs="Arial"/>
          <w:sz w:val="22"/>
          <w:szCs w:val="22"/>
        </w:rPr>
        <w:t xml:space="preserve">В рамках громадського обговорення </w:t>
      </w:r>
      <w:r w:rsidR="00B538EE" w:rsidRPr="00B538EE">
        <w:rPr>
          <w:rFonts w:ascii="Arial" w:hAnsi="Arial" w:cs="Arial"/>
          <w:sz w:val="22"/>
          <w:szCs w:val="22"/>
        </w:rPr>
        <w:t>21.09.2023</w:t>
      </w:r>
      <w:r w:rsidR="00D75A36" w:rsidRPr="009A46C5">
        <w:rPr>
          <w:rFonts w:ascii="Arial" w:hAnsi="Arial" w:cs="Arial"/>
          <w:sz w:val="22"/>
          <w:szCs w:val="22"/>
        </w:rPr>
        <w:t xml:space="preserve"> в приміщенні </w:t>
      </w:r>
      <w:r w:rsidR="00B538EE" w:rsidRPr="00B538EE">
        <w:rPr>
          <w:rFonts w:ascii="Arial" w:hAnsi="Arial" w:cs="Arial"/>
          <w:sz w:val="22"/>
          <w:szCs w:val="22"/>
        </w:rPr>
        <w:t xml:space="preserve">ресторану «ЛЕОКС», </w:t>
      </w:r>
      <w:proofErr w:type="spellStart"/>
      <w:r w:rsidR="00B538EE" w:rsidRPr="00B538EE">
        <w:rPr>
          <w:rFonts w:ascii="Arial" w:hAnsi="Arial" w:cs="Arial"/>
          <w:sz w:val="22"/>
          <w:szCs w:val="22"/>
        </w:rPr>
        <w:t>м.Миколаїв</w:t>
      </w:r>
      <w:proofErr w:type="spellEnd"/>
      <w:r w:rsidR="00B538EE" w:rsidRPr="00B538EE">
        <w:rPr>
          <w:rFonts w:ascii="Arial" w:hAnsi="Arial" w:cs="Arial"/>
          <w:sz w:val="22"/>
          <w:szCs w:val="22"/>
        </w:rPr>
        <w:t>, вул. Львівська, 4</w:t>
      </w:r>
      <w:r w:rsidRPr="009A46C5">
        <w:rPr>
          <w:rFonts w:ascii="Arial" w:hAnsi="Arial" w:cs="Arial"/>
          <w:sz w:val="22"/>
          <w:szCs w:val="22"/>
        </w:rPr>
        <w:t xml:space="preserve"> відбувся публічний захід - круглий стіл в межах громадського обговорення </w:t>
      </w:r>
      <w:proofErr w:type="spellStart"/>
      <w:r w:rsidRPr="009A46C5">
        <w:rPr>
          <w:rFonts w:ascii="Arial" w:hAnsi="Arial" w:cs="Arial"/>
          <w:sz w:val="22"/>
          <w:szCs w:val="22"/>
        </w:rPr>
        <w:t>проєкт</w:t>
      </w:r>
      <w:r w:rsidR="00D75A36" w:rsidRPr="009A46C5">
        <w:rPr>
          <w:rFonts w:ascii="Arial" w:hAnsi="Arial" w:cs="Arial"/>
          <w:sz w:val="22"/>
          <w:szCs w:val="22"/>
        </w:rPr>
        <w:t>ів</w:t>
      </w:r>
      <w:proofErr w:type="spellEnd"/>
      <w:r w:rsidRPr="009A46C5">
        <w:rPr>
          <w:rFonts w:ascii="Arial" w:hAnsi="Arial" w:cs="Arial"/>
          <w:sz w:val="22"/>
          <w:szCs w:val="22"/>
        </w:rPr>
        <w:t xml:space="preserve"> Стратегії та Плану заходів, участь у якому взяли </w:t>
      </w:r>
      <w:r w:rsidR="00B538EE">
        <w:rPr>
          <w:rFonts w:ascii="Arial" w:hAnsi="Arial" w:cs="Arial"/>
          <w:sz w:val="22"/>
          <w:szCs w:val="22"/>
        </w:rPr>
        <w:t>41</w:t>
      </w:r>
      <w:r w:rsidRPr="009A46C5">
        <w:rPr>
          <w:rFonts w:ascii="Arial" w:hAnsi="Arial" w:cs="Arial"/>
          <w:sz w:val="22"/>
          <w:szCs w:val="22"/>
        </w:rPr>
        <w:t xml:space="preserve"> учасник. На заході було презентовано </w:t>
      </w:r>
      <w:proofErr w:type="spellStart"/>
      <w:r w:rsidRPr="009A46C5">
        <w:rPr>
          <w:rFonts w:ascii="Arial" w:hAnsi="Arial" w:cs="Arial"/>
          <w:sz w:val="22"/>
          <w:szCs w:val="22"/>
        </w:rPr>
        <w:t>проєкт</w:t>
      </w:r>
      <w:r w:rsidR="00D75A36" w:rsidRPr="009A46C5">
        <w:rPr>
          <w:rFonts w:ascii="Arial" w:hAnsi="Arial" w:cs="Arial"/>
          <w:sz w:val="22"/>
          <w:szCs w:val="22"/>
        </w:rPr>
        <w:t>и</w:t>
      </w:r>
      <w:proofErr w:type="spellEnd"/>
      <w:r w:rsidRPr="009A46C5">
        <w:rPr>
          <w:rFonts w:ascii="Arial" w:hAnsi="Arial" w:cs="Arial"/>
          <w:sz w:val="22"/>
          <w:szCs w:val="22"/>
        </w:rPr>
        <w:t xml:space="preserve"> Стратегії та Плану заходів, відбулося їх обговорення в ході сесії питань-відповідей та сформовано пропозиції щодо </w:t>
      </w:r>
      <w:proofErr w:type="spellStart"/>
      <w:r w:rsidRPr="009A46C5">
        <w:rPr>
          <w:rFonts w:ascii="Arial" w:hAnsi="Arial" w:cs="Arial"/>
          <w:sz w:val="22"/>
          <w:szCs w:val="22"/>
        </w:rPr>
        <w:t>проєкт</w:t>
      </w:r>
      <w:r w:rsidR="00D75A36" w:rsidRPr="009A46C5">
        <w:rPr>
          <w:rFonts w:ascii="Arial" w:hAnsi="Arial" w:cs="Arial"/>
          <w:sz w:val="22"/>
          <w:szCs w:val="22"/>
        </w:rPr>
        <w:t>ів</w:t>
      </w:r>
      <w:proofErr w:type="spellEnd"/>
      <w:r w:rsidRPr="009A46C5">
        <w:rPr>
          <w:rFonts w:ascii="Arial" w:hAnsi="Arial" w:cs="Arial"/>
          <w:sz w:val="22"/>
          <w:szCs w:val="22"/>
        </w:rPr>
        <w:t xml:space="preserve"> Стратегії та Плану заходів. </w:t>
      </w:r>
    </w:p>
    <w:p w14:paraId="469CD1FF" w14:textId="402CE0B7" w:rsidR="00533068" w:rsidRPr="009A46C5" w:rsidRDefault="00533068" w:rsidP="00533068">
      <w:pPr>
        <w:spacing w:after="120" w:line="240" w:lineRule="auto"/>
        <w:jc w:val="both"/>
        <w:rPr>
          <w:rFonts w:ascii="Arial" w:hAnsi="Arial" w:cs="Arial"/>
          <w:b/>
          <w:bCs/>
        </w:rPr>
      </w:pPr>
      <w:r w:rsidRPr="009A46C5">
        <w:rPr>
          <w:rFonts w:ascii="Arial" w:hAnsi="Arial" w:cs="Arial"/>
        </w:rPr>
        <w:t xml:space="preserve">В установлений термін пропозиції до </w:t>
      </w:r>
      <w:proofErr w:type="spellStart"/>
      <w:r w:rsidRPr="009A46C5">
        <w:rPr>
          <w:rFonts w:ascii="Arial" w:hAnsi="Arial" w:cs="Arial"/>
        </w:rPr>
        <w:t>проєкт</w:t>
      </w:r>
      <w:r w:rsidR="00D75A36" w:rsidRPr="009A46C5">
        <w:rPr>
          <w:rFonts w:ascii="Arial" w:hAnsi="Arial" w:cs="Arial"/>
        </w:rPr>
        <w:t>ів</w:t>
      </w:r>
      <w:proofErr w:type="spellEnd"/>
      <w:r w:rsidRPr="009A46C5">
        <w:rPr>
          <w:rFonts w:ascii="Arial" w:hAnsi="Arial" w:cs="Arial"/>
        </w:rPr>
        <w:t xml:space="preserve"> Стратегії</w:t>
      </w:r>
      <w:r w:rsidR="00D75A36" w:rsidRPr="009A46C5">
        <w:rPr>
          <w:rFonts w:ascii="Arial" w:hAnsi="Arial" w:cs="Arial"/>
        </w:rPr>
        <w:t>,</w:t>
      </w:r>
      <w:r w:rsidRPr="009A46C5">
        <w:rPr>
          <w:rFonts w:ascii="Arial" w:hAnsi="Arial" w:cs="Arial"/>
        </w:rPr>
        <w:t xml:space="preserve"> Плану заходів та </w:t>
      </w:r>
      <w:r w:rsidR="00D75A36" w:rsidRPr="009A46C5">
        <w:rPr>
          <w:rFonts w:ascii="Arial" w:hAnsi="Arial" w:cs="Arial"/>
        </w:rPr>
        <w:t>З</w:t>
      </w:r>
      <w:r w:rsidRPr="009A46C5">
        <w:rPr>
          <w:rFonts w:ascii="Arial" w:hAnsi="Arial" w:cs="Arial"/>
        </w:rPr>
        <w:t xml:space="preserve">віту про </w:t>
      </w:r>
      <w:r w:rsidR="00D75A36" w:rsidRPr="009A46C5">
        <w:rPr>
          <w:rFonts w:ascii="Arial" w:hAnsi="Arial" w:cs="Arial"/>
        </w:rPr>
        <w:t>СЕО</w:t>
      </w:r>
      <w:r w:rsidRPr="009A46C5">
        <w:rPr>
          <w:rFonts w:ascii="Arial" w:hAnsi="Arial" w:cs="Arial"/>
        </w:rPr>
        <w:t xml:space="preserve"> від громадськості до </w:t>
      </w:r>
      <w:r w:rsidR="0088055A">
        <w:rPr>
          <w:rFonts w:ascii="Arial" w:hAnsi="Arial" w:cs="Arial"/>
        </w:rPr>
        <w:t>Миколаїв</w:t>
      </w:r>
      <w:r w:rsidR="00D75A36" w:rsidRPr="009A46C5">
        <w:rPr>
          <w:rFonts w:ascii="Arial" w:hAnsi="Arial" w:cs="Arial"/>
        </w:rPr>
        <w:t>ської</w:t>
      </w:r>
      <w:r w:rsidRPr="009A46C5">
        <w:rPr>
          <w:rFonts w:ascii="Arial" w:hAnsi="Arial" w:cs="Arial"/>
        </w:rPr>
        <w:t xml:space="preserve"> </w:t>
      </w:r>
      <w:r w:rsidR="00D75A36" w:rsidRPr="009A46C5">
        <w:rPr>
          <w:rFonts w:ascii="Arial" w:hAnsi="Arial" w:cs="Arial"/>
        </w:rPr>
        <w:t>міської</w:t>
      </w:r>
      <w:r w:rsidRPr="009A46C5">
        <w:rPr>
          <w:rFonts w:ascii="Arial" w:hAnsi="Arial" w:cs="Arial"/>
        </w:rPr>
        <w:t xml:space="preserve"> ради та до Єдиного реєстру стратегічної екологічної оцінки не надходили.</w:t>
      </w:r>
    </w:p>
    <w:p w14:paraId="4A7ABFA6" w14:textId="77777777" w:rsidR="009A46C5" w:rsidRDefault="009A46C5" w:rsidP="001168EC">
      <w:pPr>
        <w:widowControl w:val="0"/>
        <w:spacing w:after="0" w:line="240" w:lineRule="auto"/>
        <w:ind w:firstLine="862"/>
        <w:jc w:val="center"/>
        <w:rPr>
          <w:rFonts w:ascii="Arial" w:eastAsia="Times New Roman" w:hAnsi="Arial" w:cs="Arial"/>
          <w:b/>
          <w:bCs/>
          <w:kern w:val="0"/>
        </w:rPr>
      </w:pPr>
    </w:p>
    <w:p w14:paraId="2BE2A4D2" w14:textId="77777777" w:rsidR="009A46C5" w:rsidRDefault="009A46C5" w:rsidP="001168EC">
      <w:pPr>
        <w:widowControl w:val="0"/>
        <w:spacing w:after="0" w:line="240" w:lineRule="auto"/>
        <w:ind w:firstLine="862"/>
        <w:jc w:val="center"/>
        <w:rPr>
          <w:rFonts w:ascii="Arial" w:eastAsia="Times New Roman" w:hAnsi="Arial" w:cs="Arial"/>
          <w:b/>
          <w:bCs/>
          <w:kern w:val="0"/>
        </w:rPr>
      </w:pPr>
    </w:p>
    <w:p w14:paraId="31DFD75A" w14:textId="77777777" w:rsidR="009A46C5" w:rsidRDefault="009A46C5" w:rsidP="001168EC">
      <w:pPr>
        <w:widowControl w:val="0"/>
        <w:spacing w:after="0" w:line="240" w:lineRule="auto"/>
        <w:ind w:firstLine="862"/>
        <w:jc w:val="center"/>
        <w:rPr>
          <w:rFonts w:ascii="Arial" w:eastAsia="Times New Roman" w:hAnsi="Arial" w:cs="Arial"/>
          <w:b/>
          <w:bCs/>
          <w:kern w:val="0"/>
        </w:rPr>
      </w:pPr>
    </w:p>
    <w:p w14:paraId="2E4DB953" w14:textId="77777777" w:rsidR="009A46C5" w:rsidRDefault="009A46C5" w:rsidP="001168EC">
      <w:pPr>
        <w:widowControl w:val="0"/>
        <w:spacing w:after="0" w:line="240" w:lineRule="auto"/>
        <w:ind w:firstLine="862"/>
        <w:jc w:val="center"/>
        <w:rPr>
          <w:rFonts w:ascii="Arial" w:eastAsia="Times New Roman" w:hAnsi="Arial" w:cs="Arial"/>
          <w:b/>
          <w:bCs/>
          <w:kern w:val="0"/>
        </w:rPr>
      </w:pPr>
    </w:p>
    <w:p w14:paraId="75F0BDAB" w14:textId="77777777" w:rsidR="009A46C5" w:rsidRDefault="009A46C5" w:rsidP="001168EC">
      <w:pPr>
        <w:widowControl w:val="0"/>
        <w:spacing w:after="0" w:line="240" w:lineRule="auto"/>
        <w:ind w:firstLine="862"/>
        <w:jc w:val="center"/>
        <w:rPr>
          <w:rFonts w:ascii="Arial" w:eastAsia="Times New Roman" w:hAnsi="Arial" w:cs="Arial"/>
          <w:b/>
          <w:bCs/>
          <w:kern w:val="0"/>
        </w:rPr>
      </w:pPr>
    </w:p>
    <w:p w14:paraId="0CA84451" w14:textId="77777777" w:rsidR="009A46C5" w:rsidRDefault="009A46C5" w:rsidP="001168EC">
      <w:pPr>
        <w:widowControl w:val="0"/>
        <w:spacing w:after="0" w:line="240" w:lineRule="auto"/>
        <w:ind w:firstLine="862"/>
        <w:jc w:val="center"/>
        <w:rPr>
          <w:rFonts w:ascii="Arial" w:eastAsia="Times New Roman" w:hAnsi="Arial" w:cs="Arial"/>
          <w:b/>
          <w:bCs/>
          <w:kern w:val="0"/>
        </w:rPr>
      </w:pPr>
    </w:p>
    <w:p w14:paraId="096A302C" w14:textId="77777777" w:rsidR="009A46C5" w:rsidRDefault="009A46C5" w:rsidP="001168EC">
      <w:pPr>
        <w:widowControl w:val="0"/>
        <w:spacing w:after="0" w:line="240" w:lineRule="auto"/>
        <w:ind w:firstLine="862"/>
        <w:jc w:val="center"/>
        <w:rPr>
          <w:rFonts w:ascii="Arial" w:eastAsia="Times New Roman" w:hAnsi="Arial" w:cs="Arial"/>
          <w:b/>
          <w:bCs/>
          <w:kern w:val="0"/>
        </w:rPr>
      </w:pPr>
    </w:p>
    <w:p w14:paraId="66F5DC57" w14:textId="77777777" w:rsidR="009A46C5" w:rsidRDefault="009A46C5" w:rsidP="001168EC">
      <w:pPr>
        <w:widowControl w:val="0"/>
        <w:spacing w:after="0" w:line="240" w:lineRule="auto"/>
        <w:ind w:firstLine="862"/>
        <w:jc w:val="center"/>
        <w:rPr>
          <w:rFonts w:ascii="Arial" w:eastAsia="Times New Roman" w:hAnsi="Arial" w:cs="Arial"/>
          <w:b/>
          <w:bCs/>
          <w:kern w:val="0"/>
        </w:rPr>
      </w:pPr>
    </w:p>
    <w:p w14:paraId="4D4210D5" w14:textId="77777777" w:rsidR="009A46C5" w:rsidRDefault="009A46C5" w:rsidP="001168EC">
      <w:pPr>
        <w:widowControl w:val="0"/>
        <w:spacing w:after="0" w:line="240" w:lineRule="auto"/>
        <w:ind w:firstLine="862"/>
        <w:jc w:val="center"/>
        <w:rPr>
          <w:rFonts w:ascii="Arial" w:eastAsia="Times New Roman" w:hAnsi="Arial" w:cs="Arial"/>
          <w:b/>
          <w:bCs/>
          <w:kern w:val="0"/>
        </w:rPr>
      </w:pPr>
    </w:p>
    <w:p w14:paraId="34312567" w14:textId="0112E75A" w:rsidR="00E03526" w:rsidRPr="009A46C5" w:rsidRDefault="00E03526" w:rsidP="001168EC">
      <w:pPr>
        <w:widowControl w:val="0"/>
        <w:spacing w:after="0" w:line="240" w:lineRule="auto"/>
        <w:ind w:firstLine="862"/>
        <w:jc w:val="center"/>
        <w:rPr>
          <w:rFonts w:ascii="Arial" w:eastAsia="Times New Roman" w:hAnsi="Arial" w:cs="Arial"/>
          <w:b/>
          <w:bCs/>
          <w:kern w:val="0"/>
        </w:rPr>
      </w:pPr>
      <w:r w:rsidRPr="009A46C5">
        <w:rPr>
          <w:rFonts w:ascii="Arial" w:eastAsia="Times New Roman" w:hAnsi="Arial" w:cs="Arial"/>
          <w:b/>
          <w:bCs/>
          <w:kern w:val="0"/>
        </w:rPr>
        <w:lastRenderedPageBreak/>
        <w:t>ДОВІДКА</w:t>
      </w:r>
    </w:p>
    <w:p w14:paraId="5C749ED5" w14:textId="77777777" w:rsidR="00E03526" w:rsidRPr="009A46C5" w:rsidRDefault="00E03526" w:rsidP="001168EC">
      <w:pPr>
        <w:widowControl w:val="0"/>
        <w:spacing w:after="0" w:line="240" w:lineRule="auto"/>
        <w:ind w:firstLine="862"/>
        <w:jc w:val="center"/>
        <w:rPr>
          <w:rFonts w:ascii="Arial" w:eastAsia="Times New Roman" w:hAnsi="Arial" w:cs="Arial"/>
          <w:b/>
          <w:bCs/>
          <w:kern w:val="0"/>
        </w:rPr>
      </w:pPr>
      <w:r w:rsidRPr="009A46C5">
        <w:rPr>
          <w:rFonts w:ascii="Arial" w:eastAsia="Times New Roman" w:hAnsi="Arial" w:cs="Arial"/>
          <w:b/>
          <w:bCs/>
          <w:kern w:val="0"/>
        </w:rPr>
        <w:t>про громадське обговорення</w:t>
      </w:r>
    </w:p>
    <w:p w14:paraId="0896708A" w14:textId="4DE32C74" w:rsidR="00E03526" w:rsidRPr="009A46C5" w:rsidRDefault="00E03526" w:rsidP="001168EC">
      <w:pPr>
        <w:widowControl w:val="0"/>
        <w:spacing w:after="0" w:line="240" w:lineRule="auto"/>
        <w:ind w:firstLine="862"/>
        <w:jc w:val="center"/>
        <w:rPr>
          <w:rFonts w:ascii="Arial" w:eastAsia="Times New Roman" w:hAnsi="Arial" w:cs="Arial"/>
          <w:b/>
          <w:bCs/>
          <w:kern w:val="0"/>
        </w:rPr>
      </w:pPr>
      <w:proofErr w:type="spellStart"/>
      <w:r w:rsidRPr="009A46C5">
        <w:rPr>
          <w:rFonts w:ascii="Arial" w:eastAsia="Times New Roman" w:hAnsi="Arial" w:cs="Arial"/>
          <w:b/>
          <w:bCs/>
          <w:kern w:val="0"/>
        </w:rPr>
        <w:t>проєкт</w:t>
      </w:r>
      <w:r w:rsidR="00A208C3">
        <w:rPr>
          <w:rFonts w:ascii="Arial" w:eastAsia="Times New Roman" w:hAnsi="Arial" w:cs="Arial"/>
          <w:b/>
          <w:bCs/>
          <w:kern w:val="0"/>
        </w:rPr>
        <w:t>ів</w:t>
      </w:r>
      <w:proofErr w:type="spellEnd"/>
      <w:r w:rsidRPr="009A46C5">
        <w:rPr>
          <w:rFonts w:ascii="Arial" w:eastAsia="Times New Roman" w:hAnsi="Arial" w:cs="Arial"/>
          <w:b/>
          <w:bCs/>
          <w:kern w:val="0"/>
        </w:rPr>
        <w:t xml:space="preserve"> </w:t>
      </w:r>
      <w:r w:rsidR="001168EC" w:rsidRPr="009A46C5">
        <w:rPr>
          <w:rFonts w:ascii="Arial" w:eastAsia="Times New Roman" w:hAnsi="Arial" w:cs="Arial"/>
          <w:b/>
          <w:bCs/>
          <w:kern w:val="0"/>
        </w:rPr>
        <w:t xml:space="preserve">Стратегії розвитку </w:t>
      </w:r>
      <w:r w:rsidR="0088055A">
        <w:rPr>
          <w:rFonts w:ascii="Arial" w:eastAsia="Times New Roman" w:hAnsi="Arial" w:cs="Arial"/>
          <w:b/>
          <w:bCs/>
          <w:kern w:val="0"/>
        </w:rPr>
        <w:t>Миколаїв</w:t>
      </w:r>
      <w:r w:rsidR="001168EC" w:rsidRPr="009A46C5">
        <w:rPr>
          <w:rFonts w:ascii="Arial" w:eastAsia="Times New Roman" w:hAnsi="Arial" w:cs="Arial"/>
          <w:b/>
          <w:bCs/>
          <w:kern w:val="0"/>
        </w:rPr>
        <w:t xml:space="preserve">ської міської територіальної громади на період до 2027 року та Плану заходів на 2024-2027 роки з реалізації Стратегії розвитку </w:t>
      </w:r>
      <w:r w:rsidR="0088055A">
        <w:rPr>
          <w:rFonts w:ascii="Arial" w:eastAsia="Times New Roman" w:hAnsi="Arial" w:cs="Arial"/>
          <w:b/>
          <w:bCs/>
          <w:kern w:val="0"/>
        </w:rPr>
        <w:t>Миколаїв</w:t>
      </w:r>
      <w:r w:rsidR="001168EC" w:rsidRPr="009A46C5">
        <w:rPr>
          <w:rFonts w:ascii="Arial" w:eastAsia="Times New Roman" w:hAnsi="Arial" w:cs="Arial"/>
          <w:b/>
          <w:bCs/>
          <w:kern w:val="0"/>
        </w:rPr>
        <w:t>ської міської територіальної громади на період до 2027 року</w:t>
      </w:r>
    </w:p>
    <w:p w14:paraId="14A52106" w14:textId="77777777" w:rsidR="001168EC" w:rsidRPr="00E03526" w:rsidRDefault="001168EC" w:rsidP="001168EC">
      <w:pPr>
        <w:widowControl w:val="0"/>
        <w:spacing w:after="0" w:line="240" w:lineRule="auto"/>
        <w:ind w:firstLine="862"/>
        <w:jc w:val="center"/>
        <w:rPr>
          <w:rFonts w:ascii="Arial" w:eastAsia="Times New Roman" w:hAnsi="Arial" w:cs="Arial"/>
          <w:b/>
          <w:bCs/>
          <w:kern w:val="0"/>
        </w:rPr>
      </w:pPr>
    </w:p>
    <w:tbl>
      <w:tblPr>
        <w:tblStyle w:val="2"/>
        <w:tblW w:w="9776" w:type="dxa"/>
        <w:tblLook w:val="04A0" w:firstRow="1" w:lastRow="0" w:firstColumn="1" w:lastColumn="0" w:noHBand="0" w:noVBand="1"/>
      </w:tblPr>
      <w:tblGrid>
        <w:gridCol w:w="473"/>
        <w:gridCol w:w="1693"/>
        <w:gridCol w:w="1606"/>
        <w:gridCol w:w="2100"/>
        <w:gridCol w:w="1600"/>
        <w:gridCol w:w="2304"/>
      </w:tblGrid>
      <w:tr w:rsidR="000D6EEF" w:rsidRPr="009A46C5" w14:paraId="4E20C0D1" w14:textId="77777777" w:rsidTr="001168EC">
        <w:tc>
          <w:tcPr>
            <w:tcW w:w="458" w:type="dxa"/>
          </w:tcPr>
          <w:p w14:paraId="5BFD0B13" w14:textId="77777777" w:rsidR="00E03526" w:rsidRPr="00E03526" w:rsidRDefault="00E03526" w:rsidP="001168EC"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val="uk-UA"/>
              </w:rPr>
            </w:pPr>
            <w:r w:rsidRPr="00E0352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1653" w:type="dxa"/>
          </w:tcPr>
          <w:p w14:paraId="159EB438" w14:textId="77777777" w:rsidR="00E03526" w:rsidRPr="00E03526" w:rsidRDefault="00E03526" w:rsidP="001168EC"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val="uk-UA"/>
              </w:rPr>
            </w:pPr>
            <w:r w:rsidRPr="00E0352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Автор зауваження/ пропозиції (юридична або фізична особа)</w:t>
            </w:r>
          </w:p>
        </w:tc>
        <w:tc>
          <w:tcPr>
            <w:tcW w:w="1614" w:type="dxa"/>
          </w:tcPr>
          <w:p w14:paraId="0474736E" w14:textId="791B4745" w:rsidR="00E03526" w:rsidRPr="00E03526" w:rsidRDefault="00E03526" w:rsidP="001168EC"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val="uk-UA"/>
              </w:rPr>
            </w:pPr>
            <w:r w:rsidRPr="00E0352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Редакція частини проекту ДДП, до якої висловлено зауваження (пропозицію)</w:t>
            </w:r>
          </w:p>
        </w:tc>
        <w:tc>
          <w:tcPr>
            <w:tcW w:w="2113" w:type="dxa"/>
          </w:tcPr>
          <w:p w14:paraId="027D0773" w14:textId="77777777" w:rsidR="00E03526" w:rsidRPr="00E03526" w:rsidRDefault="00E03526" w:rsidP="001168EC"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val="uk-UA"/>
              </w:rPr>
            </w:pPr>
            <w:r w:rsidRPr="00E0352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Зауваження/ пропозиція</w:t>
            </w:r>
          </w:p>
        </w:tc>
        <w:tc>
          <w:tcPr>
            <w:tcW w:w="1613" w:type="dxa"/>
          </w:tcPr>
          <w:p w14:paraId="11937B01" w14:textId="4416F7E7" w:rsidR="00E03526" w:rsidRPr="00E03526" w:rsidRDefault="00E03526" w:rsidP="001168EC"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val="uk-UA"/>
              </w:rPr>
            </w:pPr>
            <w:r w:rsidRPr="00E0352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 xml:space="preserve">Спосіб врахування </w:t>
            </w:r>
          </w:p>
        </w:tc>
        <w:tc>
          <w:tcPr>
            <w:tcW w:w="2325" w:type="dxa"/>
          </w:tcPr>
          <w:p w14:paraId="61E29FFE" w14:textId="776E0521" w:rsidR="00E03526" w:rsidRPr="00E03526" w:rsidRDefault="00E03526" w:rsidP="001168EC"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val="uk-UA"/>
              </w:rPr>
            </w:pPr>
            <w:r w:rsidRPr="00E0352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 xml:space="preserve">Обґрунтування </w:t>
            </w:r>
          </w:p>
        </w:tc>
      </w:tr>
      <w:tr w:rsidR="00E03526" w:rsidRPr="00E03526" w14:paraId="5144AAE3" w14:textId="77777777" w:rsidTr="000D6EEF">
        <w:trPr>
          <w:trHeight w:val="232"/>
        </w:trPr>
        <w:tc>
          <w:tcPr>
            <w:tcW w:w="9776" w:type="dxa"/>
            <w:gridSpan w:val="6"/>
          </w:tcPr>
          <w:p w14:paraId="59920131" w14:textId="26DA2D21" w:rsidR="00E03526" w:rsidRPr="00E03526" w:rsidRDefault="00E03526" w:rsidP="001168EC"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val="uk-UA"/>
              </w:rPr>
            </w:pPr>
            <w:r w:rsidRPr="00E0352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 xml:space="preserve">До </w:t>
            </w:r>
            <w:proofErr w:type="spellStart"/>
            <w:r w:rsidRPr="00E0352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проєкту</w:t>
            </w:r>
            <w:proofErr w:type="spellEnd"/>
            <w:r w:rsidRPr="00E0352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 xml:space="preserve"> Стратегії </w:t>
            </w:r>
          </w:p>
        </w:tc>
      </w:tr>
      <w:tr w:rsidR="000D6EEF" w:rsidRPr="009A46C5" w14:paraId="000579FD" w14:textId="77777777" w:rsidTr="001168EC">
        <w:tc>
          <w:tcPr>
            <w:tcW w:w="458" w:type="dxa"/>
          </w:tcPr>
          <w:p w14:paraId="18824140" w14:textId="39059963" w:rsidR="00E03526" w:rsidRPr="00E03526" w:rsidRDefault="001168EC" w:rsidP="001168EC"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val="uk-UA"/>
              </w:rPr>
            </w:pPr>
            <w:r w:rsidRPr="009A46C5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-</w:t>
            </w:r>
          </w:p>
        </w:tc>
        <w:tc>
          <w:tcPr>
            <w:tcW w:w="1653" w:type="dxa"/>
          </w:tcPr>
          <w:p w14:paraId="580DE8B3" w14:textId="6E01F9F2" w:rsidR="00E03526" w:rsidRPr="00E03526" w:rsidRDefault="001168EC" w:rsidP="001168EC"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val="uk-UA"/>
              </w:rPr>
            </w:pPr>
            <w:r w:rsidRPr="009A46C5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-</w:t>
            </w:r>
          </w:p>
        </w:tc>
        <w:tc>
          <w:tcPr>
            <w:tcW w:w="1614" w:type="dxa"/>
          </w:tcPr>
          <w:p w14:paraId="28A4FA90" w14:textId="5CDEA269" w:rsidR="00E03526" w:rsidRPr="00E03526" w:rsidRDefault="001168EC" w:rsidP="001168EC">
            <w:pPr>
              <w:widowControl w:val="0"/>
              <w:ind w:firstLine="720"/>
              <w:rPr>
                <w:rFonts w:ascii="Arial" w:eastAsia="Times New Roman" w:hAnsi="Arial" w:cs="Arial"/>
                <w:sz w:val="20"/>
                <w:szCs w:val="20"/>
                <w:lang w:val="uk-UA"/>
              </w:rPr>
            </w:pPr>
            <w:r w:rsidRPr="009A46C5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-</w:t>
            </w:r>
          </w:p>
        </w:tc>
        <w:tc>
          <w:tcPr>
            <w:tcW w:w="2113" w:type="dxa"/>
          </w:tcPr>
          <w:p w14:paraId="5C2D307D" w14:textId="64098CC1" w:rsidR="00E03526" w:rsidRPr="00E03526" w:rsidRDefault="001168EC" w:rsidP="001168EC">
            <w:pPr>
              <w:widowControl w:val="0"/>
              <w:ind w:firstLine="720"/>
              <w:rPr>
                <w:rFonts w:ascii="Arial" w:eastAsia="Times New Roman" w:hAnsi="Arial" w:cs="Arial"/>
                <w:sz w:val="20"/>
                <w:szCs w:val="20"/>
                <w:lang w:val="uk-UA"/>
              </w:rPr>
            </w:pPr>
            <w:r w:rsidRPr="009A46C5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-</w:t>
            </w:r>
          </w:p>
        </w:tc>
        <w:tc>
          <w:tcPr>
            <w:tcW w:w="1613" w:type="dxa"/>
          </w:tcPr>
          <w:p w14:paraId="4CAA24DE" w14:textId="5D69B68E" w:rsidR="00E03526" w:rsidRPr="00E03526" w:rsidRDefault="001168EC" w:rsidP="001168EC">
            <w:pPr>
              <w:widowControl w:val="0"/>
              <w:ind w:firstLine="720"/>
              <w:rPr>
                <w:rFonts w:ascii="Arial" w:eastAsia="Times New Roman" w:hAnsi="Arial" w:cs="Arial"/>
                <w:sz w:val="20"/>
                <w:szCs w:val="20"/>
                <w:lang w:val="uk-UA"/>
              </w:rPr>
            </w:pPr>
            <w:r w:rsidRPr="009A46C5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-</w:t>
            </w:r>
          </w:p>
        </w:tc>
        <w:tc>
          <w:tcPr>
            <w:tcW w:w="2325" w:type="dxa"/>
          </w:tcPr>
          <w:p w14:paraId="36554359" w14:textId="3B8D5BC0" w:rsidR="00E03526" w:rsidRPr="00E03526" w:rsidRDefault="001168EC" w:rsidP="001168EC">
            <w:pPr>
              <w:widowControl w:val="0"/>
              <w:ind w:firstLine="720"/>
              <w:rPr>
                <w:rFonts w:ascii="Arial" w:eastAsia="Times New Roman" w:hAnsi="Arial" w:cs="Arial"/>
                <w:sz w:val="20"/>
                <w:szCs w:val="20"/>
                <w:lang w:val="uk-UA"/>
              </w:rPr>
            </w:pPr>
            <w:r w:rsidRPr="009A46C5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-</w:t>
            </w:r>
          </w:p>
        </w:tc>
      </w:tr>
      <w:tr w:rsidR="00E03526" w:rsidRPr="00E03526" w14:paraId="54625DAA" w14:textId="77777777" w:rsidTr="000D6EEF">
        <w:trPr>
          <w:trHeight w:val="289"/>
        </w:trPr>
        <w:tc>
          <w:tcPr>
            <w:tcW w:w="9776" w:type="dxa"/>
            <w:gridSpan w:val="6"/>
          </w:tcPr>
          <w:p w14:paraId="6D258B6A" w14:textId="5A2C22E4" w:rsidR="00E03526" w:rsidRPr="00E03526" w:rsidRDefault="00E03526" w:rsidP="001168EC"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val="uk-UA"/>
              </w:rPr>
            </w:pPr>
            <w:r w:rsidRPr="00E0352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 xml:space="preserve">До </w:t>
            </w:r>
            <w:proofErr w:type="spellStart"/>
            <w:r w:rsidRPr="009A46C5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проєкту</w:t>
            </w:r>
            <w:proofErr w:type="spellEnd"/>
            <w:r w:rsidRPr="009A46C5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 xml:space="preserve"> Плану заходів</w:t>
            </w:r>
          </w:p>
        </w:tc>
      </w:tr>
      <w:tr w:rsidR="000D6EEF" w:rsidRPr="009A46C5" w14:paraId="20A94C61" w14:textId="77777777" w:rsidTr="001168EC">
        <w:trPr>
          <w:trHeight w:val="1035"/>
        </w:trPr>
        <w:tc>
          <w:tcPr>
            <w:tcW w:w="458" w:type="dxa"/>
          </w:tcPr>
          <w:p w14:paraId="683AEEFA" w14:textId="2888F71F" w:rsidR="00E03526" w:rsidRPr="00E03526" w:rsidRDefault="000D6EEF" w:rsidP="001168EC"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val="uk-UA"/>
              </w:rPr>
            </w:pPr>
            <w:r w:rsidRPr="009A46C5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1.</w:t>
            </w:r>
          </w:p>
        </w:tc>
        <w:tc>
          <w:tcPr>
            <w:tcW w:w="1653" w:type="dxa"/>
          </w:tcPr>
          <w:p w14:paraId="37EED5F2" w14:textId="330F1690" w:rsidR="00E03526" w:rsidRPr="00E03526" w:rsidRDefault="00B538EE" w:rsidP="001168EC"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val="uk-UA"/>
              </w:rPr>
            </w:pPr>
            <w:r w:rsidRPr="00B538EE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Ігор Мельник</w:t>
            </w:r>
            <w:r>
              <w:rPr>
                <w:rFonts w:ascii="Arial" w:eastAsia="Times New Roman" w:hAnsi="Arial" w:cs="Arial"/>
                <w:sz w:val="20"/>
                <w:szCs w:val="20"/>
                <w:lang w:val="uk-UA"/>
              </w:rPr>
              <w:t xml:space="preserve">, </w:t>
            </w:r>
            <w:r w:rsidRPr="00B538EE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 xml:space="preserve">староста </w:t>
            </w:r>
            <w:proofErr w:type="spellStart"/>
            <w:r w:rsidRPr="00B538EE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Дроговизького</w:t>
            </w:r>
            <w:proofErr w:type="spellEnd"/>
            <w:r w:rsidRPr="00B538EE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 xml:space="preserve"> округу</w:t>
            </w:r>
          </w:p>
        </w:tc>
        <w:tc>
          <w:tcPr>
            <w:tcW w:w="1614" w:type="dxa"/>
          </w:tcPr>
          <w:p w14:paraId="609278AF" w14:textId="047E2C16" w:rsidR="00E03526" w:rsidRPr="00E03526" w:rsidRDefault="00E03526" w:rsidP="001168EC"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val="uk-UA"/>
              </w:rPr>
            </w:pPr>
            <w:r w:rsidRPr="009A46C5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План заходів</w:t>
            </w:r>
            <w:r w:rsidR="000D6EEF" w:rsidRPr="009A46C5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 xml:space="preserve"> загалом</w:t>
            </w:r>
          </w:p>
        </w:tc>
        <w:tc>
          <w:tcPr>
            <w:tcW w:w="2113" w:type="dxa"/>
          </w:tcPr>
          <w:p w14:paraId="6E2CAE42" w14:textId="26C575C1" w:rsidR="00E03526" w:rsidRPr="00E03526" w:rsidRDefault="00B538EE" w:rsidP="001168EC"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val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З</w:t>
            </w:r>
            <w:r w:rsidRPr="00B538EE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ада</w:t>
            </w:r>
            <w:r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но</w:t>
            </w:r>
            <w:r w:rsidRPr="00B538EE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 xml:space="preserve"> питання скільки з поданих технічних завдань на </w:t>
            </w:r>
            <w:proofErr w:type="spellStart"/>
            <w:r w:rsidRPr="00B538EE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проєкти</w:t>
            </w:r>
            <w:proofErr w:type="spellEnd"/>
            <w:r w:rsidRPr="00B538EE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 xml:space="preserve"> місцевого розвитку по </w:t>
            </w:r>
            <w:proofErr w:type="spellStart"/>
            <w:r w:rsidRPr="00B538EE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Дроговизькому</w:t>
            </w:r>
            <w:proofErr w:type="spellEnd"/>
            <w:r w:rsidRPr="00B538EE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B538EE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старостинському</w:t>
            </w:r>
            <w:proofErr w:type="spellEnd"/>
            <w:r w:rsidRPr="00B538EE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 xml:space="preserve"> окрузі включено до Плану заходів та на яку суму</w:t>
            </w:r>
            <w:r w:rsidR="00E03526" w:rsidRPr="009A46C5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.</w:t>
            </w:r>
          </w:p>
        </w:tc>
        <w:tc>
          <w:tcPr>
            <w:tcW w:w="1613" w:type="dxa"/>
          </w:tcPr>
          <w:p w14:paraId="43260E44" w14:textId="3CC9C176" w:rsidR="00E03526" w:rsidRPr="00E03526" w:rsidRDefault="000D6EEF" w:rsidP="001168EC"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val="uk-UA"/>
              </w:rPr>
            </w:pPr>
            <w:r w:rsidRPr="009A46C5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Враховано</w:t>
            </w:r>
          </w:p>
        </w:tc>
        <w:tc>
          <w:tcPr>
            <w:tcW w:w="2325" w:type="dxa"/>
          </w:tcPr>
          <w:p w14:paraId="25FE1CF3" w14:textId="085496FD" w:rsidR="00E03526" w:rsidRPr="00E03526" w:rsidRDefault="008E3A45" w:rsidP="001168EC"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val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П</w:t>
            </w:r>
            <w:r w:rsidRPr="008E3A45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 xml:space="preserve">о </w:t>
            </w:r>
            <w:proofErr w:type="spellStart"/>
            <w:r w:rsidRPr="008E3A45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Дроговизькому</w:t>
            </w:r>
            <w:proofErr w:type="spellEnd"/>
            <w:r w:rsidRPr="008E3A45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E3A45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старостинському</w:t>
            </w:r>
            <w:proofErr w:type="spellEnd"/>
            <w:r w:rsidRPr="008E3A45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 xml:space="preserve"> окрузі включено до плану заходів 3 з 4 поданих технічних завдань на суму 20200,0 тис. грн, зокрема: «Проведення робіт з водовідведення кварталу «Під Печерами» в </w:t>
            </w:r>
            <w:proofErr w:type="spellStart"/>
            <w:r w:rsidRPr="008E3A45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с.Дроговиж</w:t>
            </w:r>
            <w:proofErr w:type="spellEnd"/>
            <w:r w:rsidRPr="008E3A45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 xml:space="preserve">» (6200,0 тис. грн), «Реконструкція парку </w:t>
            </w:r>
            <w:proofErr w:type="spellStart"/>
            <w:r w:rsidRPr="008E3A45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ім.Т.Г.Шевченка</w:t>
            </w:r>
            <w:proofErr w:type="spellEnd"/>
            <w:r w:rsidRPr="008E3A45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 xml:space="preserve"> в селі Устя Стрийського району Львівської області» (9000,0 тис. грн) та «Капітальний ремонт дорожнього покриття по вулиці Шевченка в </w:t>
            </w:r>
            <w:proofErr w:type="spellStart"/>
            <w:r w:rsidRPr="008E3A45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с.Устя</w:t>
            </w:r>
            <w:proofErr w:type="spellEnd"/>
            <w:r w:rsidRPr="008E3A45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 xml:space="preserve"> Стрийського району Львівської області» (5000,0 тис. грн). </w:t>
            </w:r>
            <w:proofErr w:type="spellStart"/>
            <w:r w:rsidRPr="008E3A45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Проєкт</w:t>
            </w:r>
            <w:proofErr w:type="spellEnd"/>
            <w:r w:rsidRPr="008E3A45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 xml:space="preserve"> «Будівництво спортивно – оздоровчого простору в </w:t>
            </w:r>
            <w:proofErr w:type="spellStart"/>
            <w:r w:rsidRPr="008E3A45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с.Дроговиж</w:t>
            </w:r>
            <w:proofErr w:type="spellEnd"/>
            <w:r w:rsidRPr="008E3A45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 xml:space="preserve"> Стрийського району Львівської області» не пройшов відбору, його </w:t>
            </w:r>
            <w:proofErr w:type="spellStart"/>
            <w:r w:rsidRPr="008E3A45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відхилено</w:t>
            </w:r>
            <w:proofErr w:type="spellEnd"/>
            <w:r w:rsidRPr="008E3A45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 xml:space="preserve"> Робочою групою за результатами оцінювання (оцінка 7 балів)</w:t>
            </w:r>
            <w:r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.</w:t>
            </w:r>
          </w:p>
        </w:tc>
      </w:tr>
      <w:tr w:rsidR="001168EC" w:rsidRPr="009A46C5" w14:paraId="6AE6099A" w14:textId="77777777" w:rsidTr="001168EC">
        <w:tc>
          <w:tcPr>
            <w:tcW w:w="458" w:type="dxa"/>
          </w:tcPr>
          <w:p w14:paraId="48135DB8" w14:textId="455EB4FE" w:rsidR="00E03526" w:rsidRPr="009A46C5" w:rsidRDefault="000D6EEF" w:rsidP="001168EC"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val="uk-UA"/>
              </w:rPr>
            </w:pPr>
            <w:r w:rsidRPr="009A46C5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2.</w:t>
            </w:r>
          </w:p>
        </w:tc>
        <w:tc>
          <w:tcPr>
            <w:tcW w:w="1653" w:type="dxa"/>
          </w:tcPr>
          <w:p w14:paraId="29FF2799" w14:textId="6A3418B0" w:rsidR="00E03526" w:rsidRPr="009A46C5" w:rsidRDefault="008E3A45" w:rsidP="001168EC"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val="uk-UA"/>
              </w:rPr>
            </w:pPr>
            <w:r w:rsidRPr="008E3A45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 xml:space="preserve">Петро </w:t>
            </w:r>
            <w:proofErr w:type="spellStart"/>
            <w:r w:rsidRPr="008E3A45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Городицький</w:t>
            </w:r>
            <w:proofErr w:type="spellEnd"/>
            <w:r w:rsidRPr="008E3A45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, депутат Миколаївської міської ради</w:t>
            </w:r>
          </w:p>
        </w:tc>
        <w:tc>
          <w:tcPr>
            <w:tcW w:w="1614" w:type="dxa"/>
          </w:tcPr>
          <w:p w14:paraId="3C9EE48F" w14:textId="6D467BCB" w:rsidR="00E03526" w:rsidRPr="009A46C5" w:rsidRDefault="000D6EEF" w:rsidP="001168EC"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val="uk-UA"/>
              </w:rPr>
            </w:pPr>
            <w:r w:rsidRPr="009A46C5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План заходів загалом</w:t>
            </w:r>
          </w:p>
        </w:tc>
        <w:tc>
          <w:tcPr>
            <w:tcW w:w="2113" w:type="dxa"/>
          </w:tcPr>
          <w:p w14:paraId="36B322D5" w14:textId="4BCBFF4B" w:rsidR="00E03526" w:rsidRPr="009A46C5" w:rsidRDefault="008E3A45" w:rsidP="001168EC"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val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uk-UA"/>
              </w:rPr>
              <w:t xml:space="preserve">Пропозиція щодо необхідності врахування </w:t>
            </w:r>
            <w:r w:rsidRPr="008E3A45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 xml:space="preserve">в Плані заходів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п</w:t>
            </w:r>
            <w:r w:rsidRPr="008E3A45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роєкт</w:t>
            </w:r>
            <w:r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ів</w:t>
            </w:r>
            <w:proofErr w:type="spellEnd"/>
            <w:r w:rsidRPr="008E3A45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 xml:space="preserve"> з розвитку економіки громади, розроблення у 2024-2027 роках містобудівної та землевпорядної </w:t>
            </w:r>
            <w:r w:rsidRPr="008E3A45">
              <w:rPr>
                <w:rFonts w:ascii="Arial" w:eastAsia="Times New Roman" w:hAnsi="Arial" w:cs="Arial"/>
                <w:sz w:val="20"/>
                <w:szCs w:val="20"/>
                <w:lang w:val="uk-UA"/>
              </w:rPr>
              <w:lastRenderedPageBreak/>
              <w:t>документації, зокрема розроблення Комплексного плану просторового розвитку Миколаївської громади, генеральних планів сільських населених пунктів, встановлення меж території громади, нормативної грошової оцінки земель</w:t>
            </w:r>
            <w:r w:rsidR="000D6EEF" w:rsidRPr="009A46C5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.</w:t>
            </w:r>
          </w:p>
        </w:tc>
        <w:tc>
          <w:tcPr>
            <w:tcW w:w="1613" w:type="dxa"/>
          </w:tcPr>
          <w:p w14:paraId="114C19E7" w14:textId="287E6525" w:rsidR="00E03526" w:rsidRPr="009A46C5" w:rsidRDefault="000D6EEF" w:rsidP="001168EC"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val="uk-UA"/>
              </w:rPr>
            </w:pPr>
            <w:r w:rsidRPr="009A46C5">
              <w:rPr>
                <w:rFonts w:ascii="Arial" w:eastAsia="Times New Roman" w:hAnsi="Arial" w:cs="Arial"/>
                <w:sz w:val="20"/>
                <w:szCs w:val="20"/>
                <w:lang w:val="uk-UA"/>
              </w:rPr>
              <w:lastRenderedPageBreak/>
              <w:t>Враховано</w:t>
            </w:r>
          </w:p>
        </w:tc>
        <w:tc>
          <w:tcPr>
            <w:tcW w:w="2325" w:type="dxa"/>
          </w:tcPr>
          <w:p w14:paraId="2F8A6233" w14:textId="75F0FFBD" w:rsidR="00E03526" w:rsidRPr="009A46C5" w:rsidRDefault="00AF5391" w:rsidP="001168EC"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val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-</w:t>
            </w:r>
          </w:p>
        </w:tc>
      </w:tr>
      <w:tr w:rsidR="001168EC" w:rsidRPr="009A46C5" w14:paraId="33C7079C" w14:textId="77777777" w:rsidTr="001168EC">
        <w:tc>
          <w:tcPr>
            <w:tcW w:w="458" w:type="dxa"/>
          </w:tcPr>
          <w:p w14:paraId="62AB602C" w14:textId="73F0E58E" w:rsidR="00E03526" w:rsidRPr="009A46C5" w:rsidRDefault="000D6EEF" w:rsidP="001168EC"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val="uk-UA"/>
              </w:rPr>
            </w:pPr>
            <w:r w:rsidRPr="009A46C5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3.</w:t>
            </w:r>
          </w:p>
        </w:tc>
        <w:tc>
          <w:tcPr>
            <w:tcW w:w="1653" w:type="dxa"/>
          </w:tcPr>
          <w:p w14:paraId="63955186" w14:textId="1BE0C04B" w:rsidR="00E03526" w:rsidRPr="009A46C5" w:rsidRDefault="008E3A45" w:rsidP="001168EC"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val="uk-UA"/>
              </w:rPr>
            </w:pPr>
            <w:r w:rsidRPr="008E3A45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Тетяна Микитка, представниця ГО «Центр підтримки осіб з психічними розладами «</w:t>
            </w:r>
            <w:proofErr w:type="spellStart"/>
            <w:r w:rsidRPr="008E3A45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Дестигма</w:t>
            </w:r>
            <w:proofErr w:type="spellEnd"/>
            <w:r w:rsidRPr="008E3A45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»</w:t>
            </w:r>
          </w:p>
        </w:tc>
        <w:tc>
          <w:tcPr>
            <w:tcW w:w="1614" w:type="dxa"/>
          </w:tcPr>
          <w:p w14:paraId="72655DD7" w14:textId="09525DC2" w:rsidR="00E03526" w:rsidRPr="009A46C5" w:rsidRDefault="000D6EEF" w:rsidP="001168EC"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val="uk-UA"/>
              </w:rPr>
            </w:pPr>
            <w:r w:rsidRPr="009A46C5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План заходів загалом</w:t>
            </w:r>
          </w:p>
        </w:tc>
        <w:tc>
          <w:tcPr>
            <w:tcW w:w="2113" w:type="dxa"/>
          </w:tcPr>
          <w:p w14:paraId="35CDEAFB" w14:textId="466A3627" w:rsidR="00E03526" w:rsidRPr="009A46C5" w:rsidRDefault="000D6EEF" w:rsidP="001168EC"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val="uk-UA"/>
              </w:rPr>
            </w:pPr>
            <w:r w:rsidRPr="009A46C5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 xml:space="preserve">Пропозиція щодо </w:t>
            </w:r>
            <w:r w:rsidR="008E3A45" w:rsidRPr="008E3A45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покращ</w:t>
            </w:r>
            <w:r w:rsidR="008E3A45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ення</w:t>
            </w:r>
            <w:r w:rsidR="008E3A45" w:rsidRPr="008E3A45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 xml:space="preserve"> як</w:t>
            </w:r>
            <w:r w:rsidR="008E3A45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о</w:t>
            </w:r>
            <w:r w:rsidR="008E3A45" w:rsidRPr="008E3A45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ст</w:t>
            </w:r>
            <w:r w:rsidR="008E3A45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і</w:t>
            </w:r>
            <w:r w:rsidR="008E3A45" w:rsidRPr="008E3A45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 xml:space="preserve"> надання соціальних послуг</w:t>
            </w:r>
            <w:r w:rsidRPr="009A46C5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.</w:t>
            </w:r>
          </w:p>
        </w:tc>
        <w:tc>
          <w:tcPr>
            <w:tcW w:w="1613" w:type="dxa"/>
          </w:tcPr>
          <w:p w14:paraId="37BC6BFC" w14:textId="46EF8D57" w:rsidR="00E03526" w:rsidRPr="009A46C5" w:rsidRDefault="000D6EEF" w:rsidP="001168EC"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val="uk-UA"/>
              </w:rPr>
            </w:pPr>
            <w:r w:rsidRPr="009A46C5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Враховано</w:t>
            </w:r>
          </w:p>
        </w:tc>
        <w:tc>
          <w:tcPr>
            <w:tcW w:w="2325" w:type="dxa"/>
          </w:tcPr>
          <w:p w14:paraId="5287835A" w14:textId="23D33274" w:rsidR="00E03526" w:rsidRPr="009A46C5" w:rsidRDefault="008E3A45" w:rsidP="001168EC"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val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uk-UA"/>
              </w:rPr>
              <w:t xml:space="preserve">В Плані заходів враховано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проєкти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uk-UA"/>
              </w:rPr>
              <w:t xml:space="preserve"> </w:t>
            </w:r>
            <w:r w:rsidRPr="008E3A45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 xml:space="preserve">щодо створення місць проживання одиноких непрацездатних громадян, осіб, що втратили працездатність та осіб з інвалідністю, які потребують догляду та підтримки, в </w:t>
            </w:r>
            <w:proofErr w:type="spellStart"/>
            <w:r w:rsidRPr="008E3A45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с.Повергів</w:t>
            </w:r>
            <w:proofErr w:type="spellEnd"/>
            <w:r w:rsidRPr="008E3A45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 xml:space="preserve"> та с. </w:t>
            </w:r>
            <w:proofErr w:type="spellStart"/>
            <w:r w:rsidRPr="008E3A45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Липиці</w:t>
            </w:r>
            <w:proofErr w:type="spellEnd"/>
            <w:r w:rsidRPr="008E3A45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, облаштування актового залу для проведення культурно-просвітницьких заходів, зустрічей, тематичних вечорів та інших для  цих категорій громадян, облаштування відкритого простору для відпочинку та очікування під час отримання відповідних послуг, що дозволить покращити якість надання соціальних послуг.</w:t>
            </w:r>
          </w:p>
        </w:tc>
      </w:tr>
      <w:tr w:rsidR="000D6EEF" w:rsidRPr="009A46C5" w14:paraId="2E3A2FBC" w14:textId="77777777" w:rsidTr="001168EC">
        <w:tc>
          <w:tcPr>
            <w:tcW w:w="458" w:type="dxa"/>
          </w:tcPr>
          <w:p w14:paraId="70A0372A" w14:textId="7B8A0EFA" w:rsidR="000D6EEF" w:rsidRPr="009A46C5" w:rsidRDefault="000D6EEF" w:rsidP="001168EC"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val="uk-UA"/>
              </w:rPr>
            </w:pPr>
            <w:r w:rsidRPr="009A46C5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4.</w:t>
            </w:r>
          </w:p>
        </w:tc>
        <w:tc>
          <w:tcPr>
            <w:tcW w:w="1653" w:type="dxa"/>
          </w:tcPr>
          <w:p w14:paraId="4D71432A" w14:textId="39B07A32" w:rsidR="000D6EEF" w:rsidRPr="009A46C5" w:rsidRDefault="008E3A45" w:rsidP="001168EC"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val="uk-UA"/>
              </w:rPr>
            </w:pPr>
            <w:r w:rsidRPr="008E3A45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 xml:space="preserve">Романа Федорів, представниця ГО «Спілка художників </w:t>
            </w:r>
            <w:proofErr w:type="spellStart"/>
            <w:r w:rsidRPr="008E3A45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Миколаївщини»</w:t>
            </w:r>
            <w:proofErr w:type="spellEnd"/>
          </w:p>
        </w:tc>
        <w:tc>
          <w:tcPr>
            <w:tcW w:w="1614" w:type="dxa"/>
          </w:tcPr>
          <w:p w14:paraId="0D2A744F" w14:textId="27054603" w:rsidR="000D6EEF" w:rsidRPr="009A46C5" w:rsidRDefault="000D6EEF" w:rsidP="001168EC"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val="uk-UA"/>
              </w:rPr>
            </w:pPr>
            <w:r w:rsidRPr="009A46C5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План заходів загалом</w:t>
            </w:r>
          </w:p>
        </w:tc>
        <w:tc>
          <w:tcPr>
            <w:tcW w:w="2113" w:type="dxa"/>
          </w:tcPr>
          <w:p w14:paraId="30BCAA34" w14:textId="02313082" w:rsidR="000D6EEF" w:rsidRPr="009A46C5" w:rsidRDefault="000D6EEF" w:rsidP="001168EC"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val="uk-UA"/>
              </w:rPr>
            </w:pPr>
            <w:r w:rsidRPr="009A46C5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 xml:space="preserve">Пропозиція щодо </w:t>
            </w:r>
            <w:r w:rsidR="008E3A45" w:rsidRPr="008E3A45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створ</w:t>
            </w:r>
            <w:r w:rsidR="008E3A45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ення</w:t>
            </w:r>
            <w:r w:rsidR="008E3A45" w:rsidRPr="008E3A45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 xml:space="preserve"> умов для залучення дітей сіл Рудники, </w:t>
            </w:r>
            <w:proofErr w:type="spellStart"/>
            <w:r w:rsidR="008E3A45" w:rsidRPr="008E3A45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Більче</w:t>
            </w:r>
            <w:proofErr w:type="spellEnd"/>
            <w:r w:rsidR="008E3A45" w:rsidRPr="008E3A45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 xml:space="preserve">, </w:t>
            </w:r>
            <w:proofErr w:type="spellStart"/>
            <w:r w:rsidR="008E3A45" w:rsidRPr="008E3A45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Болоня</w:t>
            </w:r>
            <w:proofErr w:type="spellEnd"/>
            <w:r w:rsidR="008E3A45" w:rsidRPr="008E3A45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 xml:space="preserve">, Криниця, </w:t>
            </w:r>
            <w:proofErr w:type="spellStart"/>
            <w:r w:rsidR="008E3A45" w:rsidRPr="008E3A45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Раделичі</w:t>
            </w:r>
            <w:proofErr w:type="spellEnd"/>
            <w:r w:rsidR="008E3A45" w:rsidRPr="008E3A45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, Гірське до занять у різних напрямках мистецької діяльності</w:t>
            </w:r>
            <w:r w:rsidR="008E3A45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.</w:t>
            </w:r>
          </w:p>
        </w:tc>
        <w:tc>
          <w:tcPr>
            <w:tcW w:w="1613" w:type="dxa"/>
          </w:tcPr>
          <w:p w14:paraId="50DA6CE0" w14:textId="722CCD26" w:rsidR="000D6EEF" w:rsidRPr="009A46C5" w:rsidRDefault="0073320F" w:rsidP="001168EC"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val="uk-UA"/>
              </w:rPr>
            </w:pPr>
            <w:r w:rsidRPr="009A46C5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В</w:t>
            </w:r>
            <w:r w:rsidR="00AF5391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раховано</w:t>
            </w:r>
          </w:p>
        </w:tc>
        <w:tc>
          <w:tcPr>
            <w:tcW w:w="2325" w:type="dxa"/>
          </w:tcPr>
          <w:p w14:paraId="668F9B00" w14:textId="60F121EE" w:rsidR="001168EC" w:rsidRPr="009A46C5" w:rsidRDefault="0073320F" w:rsidP="001168EC"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val="uk-UA"/>
              </w:rPr>
            </w:pPr>
            <w:r w:rsidRPr="009A46C5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 xml:space="preserve">У План заходів включено </w:t>
            </w:r>
            <w:r w:rsidR="00AF5391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 xml:space="preserve">технічне завдання на </w:t>
            </w:r>
            <w:proofErr w:type="spellStart"/>
            <w:r w:rsidR="008E3A45" w:rsidRPr="008E3A45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проєкт</w:t>
            </w:r>
            <w:proofErr w:type="spellEnd"/>
            <w:r w:rsidR="008E3A45" w:rsidRPr="008E3A45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 xml:space="preserve"> «Відкриття філії Миколаївської дитячої школи мистецтв у с. Рудники»</w:t>
            </w:r>
            <w:r w:rsidR="001168EC" w:rsidRPr="009A46C5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.</w:t>
            </w:r>
          </w:p>
        </w:tc>
      </w:tr>
      <w:tr w:rsidR="00AF5391" w:rsidRPr="009A46C5" w14:paraId="06B2AD60" w14:textId="77777777" w:rsidTr="001168EC">
        <w:tc>
          <w:tcPr>
            <w:tcW w:w="458" w:type="dxa"/>
          </w:tcPr>
          <w:p w14:paraId="3F11BC2A" w14:textId="3ADE82D9" w:rsidR="00AF5391" w:rsidRPr="009A46C5" w:rsidRDefault="00AF5391" w:rsidP="001168EC">
            <w:pPr>
              <w:widowControl w:val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5.</w:t>
            </w:r>
          </w:p>
        </w:tc>
        <w:tc>
          <w:tcPr>
            <w:tcW w:w="1653" w:type="dxa"/>
          </w:tcPr>
          <w:p w14:paraId="266C7F56" w14:textId="09AEBD26" w:rsidR="00AF5391" w:rsidRPr="008E3A45" w:rsidRDefault="00AF5391" w:rsidP="001168EC">
            <w:pPr>
              <w:widowControl w:val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F5391">
              <w:rPr>
                <w:rFonts w:ascii="Arial" w:eastAsia="Times New Roman" w:hAnsi="Arial" w:cs="Arial"/>
                <w:sz w:val="20"/>
                <w:szCs w:val="20"/>
              </w:rPr>
              <w:t>Наталія</w:t>
            </w:r>
            <w:proofErr w:type="spellEnd"/>
            <w:r w:rsidRPr="00AF539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AF5391">
              <w:rPr>
                <w:rFonts w:ascii="Arial" w:eastAsia="Times New Roman" w:hAnsi="Arial" w:cs="Arial"/>
                <w:sz w:val="20"/>
                <w:szCs w:val="20"/>
              </w:rPr>
              <w:t>Лешковят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п</w:t>
            </w:r>
            <w:r w:rsidRPr="00AF5391">
              <w:rPr>
                <w:rFonts w:ascii="Arial" w:eastAsia="Times New Roman" w:hAnsi="Arial" w:cs="Arial"/>
                <w:sz w:val="20"/>
                <w:szCs w:val="20"/>
              </w:rPr>
              <w:t>редставниця</w:t>
            </w:r>
            <w:proofErr w:type="spellEnd"/>
            <w:r w:rsidRPr="00AF539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AF5391">
              <w:rPr>
                <w:rFonts w:ascii="Arial" w:eastAsia="Times New Roman" w:hAnsi="Arial" w:cs="Arial"/>
                <w:sz w:val="20"/>
                <w:szCs w:val="20"/>
              </w:rPr>
              <w:t>Миколаївської</w:t>
            </w:r>
            <w:proofErr w:type="spellEnd"/>
            <w:r w:rsidRPr="00AF539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AF5391">
              <w:rPr>
                <w:rFonts w:ascii="Arial" w:eastAsia="Times New Roman" w:hAnsi="Arial" w:cs="Arial"/>
                <w:sz w:val="20"/>
                <w:szCs w:val="20"/>
              </w:rPr>
              <w:t>молодіжної</w:t>
            </w:r>
            <w:proofErr w:type="spellEnd"/>
            <w:r w:rsidRPr="00AF5391">
              <w:rPr>
                <w:rFonts w:ascii="Arial" w:eastAsia="Times New Roman" w:hAnsi="Arial" w:cs="Arial"/>
                <w:sz w:val="20"/>
                <w:szCs w:val="20"/>
              </w:rPr>
              <w:t xml:space="preserve"> ради при </w:t>
            </w:r>
            <w:proofErr w:type="spellStart"/>
            <w:r w:rsidRPr="00AF5391">
              <w:rPr>
                <w:rFonts w:ascii="Arial" w:eastAsia="Times New Roman" w:hAnsi="Arial" w:cs="Arial"/>
                <w:sz w:val="20"/>
                <w:szCs w:val="20"/>
              </w:rPr>
              <w:t>міській</w:t>
            </w:r>
            <w:proofErr w:type="spellEnd"/>
            <w:r w:rsidRPr="00AF539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AF5391">
              <w:rPr>
                <w:rFonts w:ascii="Arial" w:eastAsia="Times New Roman" w:hAnsi="Arial" w:cs="Arial"/>
                <w:sz w:val="20"/>
                <w:szCs w:val="20"/>
              </w:rPr>
              <w:t>раді</w:t>
            </w:r>
            <w:proofErr w:type="spellEnd"/>
            <w:r w:rsidRPr="00AF539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614" w:type="dxa"/>
          </w:tcPr>
          <w:p w14:paraId="2B5DC52F" w14:textId="2CE3B08F" w:rsidR="00AF5391" w:rsidRPr="009A46C5" w:rsidRDefault="00AF5391" w:rsidP="001168EC">
            <w:pPr>
              <w:widowControl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9A46C5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План заходів загалом</w:t>
            </w:r>
          </w:p>
        </w:tc>
        <w:tc>
          <w:tcPr>
            <w:tcW w:w="2113" w:type="dxa"/>
          </w:tcPr>
          <w:p w14:paraId="476265BB" w14:textId="70172BF2" w:rsidR="00AF5391" w:rsidRPr="009A46C5" w:rsidRDefault="00AF5391" w:rsidP="001168EC">
            <w:pPr>
              <w:widowControl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9A46C5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 xml:space="preserve">Пропозиція щодо </w:t>
            </w:r>
            <w:r w:rsidRPr="008E3A45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створ</w:t>
            </w:r>
            <w:r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ення</w:t>
            </w:r>
            <w:r w:rsidRPr="008E3A45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val="uk-UA"/>
              </w:rPr>
              <w:t xml:space="preserve">можливості </w:t>
            </w:r>
            <w:r w:rsidRPr="00AF5391">
              <w:rPr>
                <w:rFonts w:ascii="Arial" w:eastAsia="Times New Roman" w:hAnsi="Arial" w:cs="Arial"/>
                <w:sz w:val="20"/>
                <w:szCs w:val="20"/>
              </w:rPr>
              <w:t>для М</w:t>
            </w:r>
            <w:proofErr w:type="spellStart"/>
            <w:r w:rsidRPr="00AF5391">
              <w:rPr>
                <w:rFonts w:ascii="Arial" w:eastAsia="Times New Roman" w:hAnsi="Arial" w:cs="Arial"/>
                <w:sz w:val="20"/>
                <w:szCs w:val="20"/>
              </w:rPr>
              <w:t>олодіжної</w:t>
            </w:r>
            <w:proofErr w:type="spellEnd"/>
            <w:r w:rsidRPr="00AF5391">
              <w:rPr>
                <w:rFonts w:ascii="Arial" w:eastAsia="Times New Roman" w:hAnsi="Arial" w:cs="Arial"/>
                <w:sz w:val="20"/>
                <w:szCs w:val="20"/>
              </w:rPr>
              <w:t xml:space="preserve"> ради </w:t>
            </w:r>
            <w:proofErr w:type="spellStart"/>
            <w:r w:rsidRPr="00AF5391">
              <w:rPr>
                <w:rFonts w:ascii="Arial" w:eastAsia="Times New Roman" w:hAnsi="Arial" w:cs="Arial"/>
                <w:sz w:val="20"/>
                <w:szCs w:val="20"/>
              </w:rPr>
              <w:t>охопити</w:t>
            </w:r>
            <w:proofErr w:type="spellEnd"/>
            <w:r w:rsidRPr="00AF539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AF5391">
              <w:rPr>
                <w:rFonts w:ascii="Arial" w:eastAsia="Times New Roman" w:hAnsi="Arial" w:cs="Arial"/>
                <w:sz w:val="20"/>
                <w:szCs w:val="20"/>
              </w:rPr>
              <w:t>молодіжними</w:t>
            </w:r>
            <w:proofErr w:type="spellEnd"/>
            <w:r w:rsidRPr="00AF5391">
              <w:rPr>
                <w:rFonts w:ascii="Arial" w:eastAsia="Times New Roman" w:hAnsi="Arial" w:cs="Arial"/>
                <w:sz w:val="20"/>
                <w:szCs w:val="20"/>
              </w:rPr>
              <w:t xml:space="preserve"> заходами </w:t>
            </w:r>
            <w:proofErr w:type="spellStart"/>
            <w:r w:rsidRPr="00AF5391">
              <w:rPr>
                <w:rFonts w:ascii="Arial" w:eastAsia="Times New Roman" w:hAnsi="Arial" w:cs="Arial"/>
                <w:sz w:val="20"/>
                <w:szCs w:val="20"/>
              </w:rPr>
              <w:t>більшу</w:t>
            </w:r>
            <w:proofErr w:type="spellEnd"/>
            <w:r w:rsidRPr="00AF539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AF5391">
              <w:rPr>
                <w:rFonts w:ascii="Arial" w:eastAsia="Times New Roman" w:hAnsi="Arial" w:cs="Arial"/>
                <w:sz w:val="20"/>
                <w:szCs w:val="20"/>
              </w:rPr>
              <w:t>кількість</w:t>
            </w:r>
            <w:proofErr w:type="spellEnd"/>
            <w:r w:rsidRPr="00AF539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AF5391">
              <w:rPr>
                <w:rFonts w:ascii="Arial" w:eastAsia="Times New Roman" w:hAnsi="Arial" w:cs="Arial"/>
                <w:sz w:val="20"/>
                <w:szCs w:val="20"/>
              </w:rPr>
              <w:t>населених</w:t>
            </w:r>
            <w:proofErr w:type="spellEnd"/>
            <w:r w:rsidRPr="00AF539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AF5391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пунктів</w:t>
            </w:r>
            <w:proofErr w:type="spellEnd"/>
            <w:r w:rsidRPr="00AF539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AF5391">
              <w:rPr>
                <w:rFonts w:ascii="Arial" w:eastAsia="Times New Roman" w:hAnsi="Arial" w:cs="Arial"/>
                <w:sz w:val="20"/>
                <w:szCs w:val="20"/>
              </w:rPr>
              <w:t>громади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1613" w:type="dxa"/>
          </w:tcPr>
          <w:p w14:paraId="24E57F9E" w14:textId="10D2E3D0" w:rsidR="00AF5391" w:rsidRPr="009A46C5" w:rsidRDefault="00AF5391" w:rsidP="001168EC">
            <w:pPr>
              <w:widowControl w:val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Враховано</w:t>
            </w:r>
            <w:proofErr w:type="spellEnd"/>
          </w:p>
        </w:tc>
        <w:tc>
          <w:tcPr>
            <w:tcW w:w="2325" w:type="dxa"/>
          </w:tcPr>
          <w:p w14:paraId="135D8B38" w14:textId="1DAFA245" w:rsidR="00AF5391" w:rsidRPr="009A46C5" w:rsidRDefault="00AF5391" w:rsidP="001168EC">
            <w:pPr>
              <w:widowControl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9A46C5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 xml:space="preserve">У План заходів включено </w:t>
            </w:r>
            <w:r>
              <w:rPr>
                <w:rFonts w:ascii="Arial" w:eastAsia="Times New Roman" w:hAnsi="Arial" w:cs="Arial"/>
                <w:sz w:val="20"/>
                <w:szCs w:val="20"/>
                <w:lang w:val="uk-UA"/>
              </w:rPr>
              <w:t xml:space="preserve">технічне завдання на </w:t>
            </w:r>
            <w:proofErr w:type="spellStart"/>
            <w:r w:rsidRPr="008E3A45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проєкт</w:t>
            </w:r>
            <w:proofErr w:type="spellEnd"/>
            <w:r w:rsidRPr="008E3A45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 xml:space="preserve"> «</w:t>
            </w:r>
            <w:r w:rsidRPr="00AF5391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Придбання мікроавтобуса для КП «Молодіжний центр»</w:t>
            </w:r>
            <w:r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.</w:t>
            </w:r>
          </w:p>
        </w:tc>
      </w:tr>
    </w:tbl>
    <w:p w14:paraId="7F5D7280" w14:textId="77777777" w:rsidR="009A46C5" w:rsidRPr="009A46C5" w:rsidRDefault="009A46C5" w:rsidP="009A46C5">
      <w:pPr>
        <w:widowControl w:val="0"/>
        <w:spacing w:after="120" w:line="240" w:lineRule="auto"/>
        <w:ind w:firstLine="860"/>
        <w:jc w:val="both"/>
        <w:rPr>
          <w:rFonts w:ascii="Arial" w:eastAsia="Times New Roman" w:hAnsi="Arial" w:cs="Arial"/>
          <w:kern w:val="0"/>
        </w:rPr>
      </w:pPr>
    </w:p>
    <w:p w14:paraId="2EB0B623" w14:textId="77777777" w:rsidR="009A46C5" w:rsidRDefault="009A46C5" w:rsidP="009A46C5">
      <w:pPr>
        <w:pStyle w:val="Default"/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9A46C5">
        <w:rPr>
          <w:rFonts w:ascii="Arial" w:hAnsi="Arial" w:cs="Arial"/>
          <w:b/>
          <w:bCs/>
          <w:sz w:val="22"/>
          <w:szCs w:val="22"/>
        </w:rPr>
        <w:t xml:space="preserve">2. Обґрунтування обрання саме цього документа державного планування у тому вигляді, в якому він запропонований до затвердження серед інших виправданих альтернатив, представлених до розгляду </w:t>
      </w:r>
    </w:p>
    <w:p w14:paraId="7CAA54F8" w14:textId="77777777" w:rsidR="009A46C5" w:rsidRPr="009A46C5" w:rsidRDefault="009A46C5" w:rsidP="009A46C5">
      <w:pPr>
        <w:pStyle w:val="Default"/>
        <w:spacing w:after="120"/>
        <w:jc w:val="both"/>
        <w:rPr>
          <w:rFonts w:ascii="Arial" w:hAnsi="Arial" w:cs="Arial"/>
          <w:sz w:val="22"/>
          <w:szCs w:val="22"/>
        </w:rPr>
      </w:pPr>
    </w:p>
    <w:p w14:paraId="4C48288B" w14:textId="77777777" w:rsidR="009A46C5" w:rsidRPr="009A46C5" w:rsidRDefault="009A46C5" w:rsidP="009A46C5">
      <w:pPr>
        <w:pStyle w:val="Default"/>
        <w:spacing w:after="120"/>
        <w:jc w:val="both"/>
        <w:rPr>
          <w:rFonts w:ascii="Arial" w:hAnsi="Arial" w:cs="Arial"/>
          <w:sz w:val="22"/>
          <w:szCs w:val="22"/>
        </w:rPr>
      </w:pPr>
      <w:proofErr w:type="spellStart"/>
      <w:r w:rsidRPr="009A46C5">
        <w:rPr>
          <w:rFonts w:ascii="Arial" w:hAnsi="Arial" w:cs="Arial"/>
          <w:sz w:val="22"/>
          <w:szCs w:val="22"/>
        </w:rPr>
        <w:t>Проєкт</w:t>
      </w:r>
      <w:proofErr w:type="spellEnd"/>
      <w:r w:rsidRPr="009A46C5">
        <w:rPr>
          <w:rFonts w:ascii="Arial" w:hAnsi="Arial" w:cs="Arial"/>
          <w:sz w:val="22"/>
          <w:szCs w:val="22"/>
        </w:rPr>
        <w:t xml:space="preserve"> Стратегії та Плану заходів спрямований на сталий розвиток громади і тому не потребує альтернативних цілей та пріоритетів, а також альтернативних варіантів розвитку. Запропонований </w:t>
      </w:r>
      <w:proofErr w:type="spellStart"/>
      <w:r w:rsidRPr="009A46C5">
        <w:rPr>
          <w:rFonts w:ascii="Arial" w:hAnsi="Arial" w:cs="Arial"/>
          <w:sz w:val="22"/>
          <w:szCs w:val="22"/>
        </w:rPr>
        <w:t>проєкт</w:t>
      </w:r>
      <w:proofErr w:type="spellEnd"/>
      <w:r w:rsidRPr="009A46C5">
        <w:rPr>
          <w:rFonts w:ascii="Arial" w:hAnsi="Arial" w:cs="Arial"/>
          <w:sz w:val="22"/>
          <w:szCs w:val="22"/>
        </w:rPr>
        <w:t xml:space="preserve"> ДДП приймаємо до затвердження серед інших альтернатив. </w:t>
      </w:r>
    </w:p>
    <w:p w14:paraId="07482F72" w14:textId="77777777" w:rsidR="009A46C5" w:rsidRPr="009A46C5" w:rsidRDefault="009A46C5" w:rsidP="009A46C5">
      <w:pPr>
        <w:pStyle w:val="Default"/>
        <w:spacing w:after="120"/>
        <w:jc w:val="both"/>
        <w:rPr>
          <w:rFonts w:ascii="Arial" w:hAnsi="Arial" w:cs="Arial"/>
          <w:sz w:val="22"/>
          <w:szCs w:val="22"/>
        </w:rPr>
      </w:pPr>
      <w:r w:rsidRPr="009A46C5">
        <w:rPr>
          <w:rFonts w:ascii="Arial" w:hAnsi="Arial" w:cs="Arial"/>
          <w:sz w:val="22"/>
          <w:szCs w:val="22"/>
        </w:rPr>
        <w:t xml:space="preserve">За результатами громадських обговорень </w:t>
      </w:r>
      <w:proofErr w:type="spellStart"/>
      <w:r w:rsidRPr="009A46C5">
        <w:rPr>
          <w:rFonts w:ascii="Arial" w:hAnsi="Arial" w:cs="Arial"/>
          <w:sz w:val="22"/>
          <w:szCs w:val="22"/>
        </w:rPr>
        <w:t>проєкту</w:t>
      </w:r>
      <w:proofErr w:type="spellEnd"/>
      <w:r w:rsidRPr="009A46C5">
        <w:rPr>
          <w:rFonts w:ascii="Arial" w:hAnsi="Arial" w:cs="Arial"/>
          <w:sz w:val="22"/>
          <w:szCs w:val="22"/>
        </w:rPr>
        <w:t xml:space="preserve"> Стратегії та Плану заходів з її реалізації вирішено: </w:t>
      </w:r>
    </w:p>
    <w:p w14:paraId="36F12B29" w14:textId="77777777" w:rsidR="002A42FC" w:rsidRPr="002A42FC" w:rsidRDefault="002A42FC" w:rsidP="002A42FC">
      <w:pPr>
        <w:widowControl w:val="0"/>
        <w:spacing w:after="120" w:line="240" w:lineRule="auto"/>
        <w:jc w:val="both"/>
        <w:rPr>
          <w:rFonts w:ascii="Arial" w:eastAsia="Times New Roman" w:hAnsi="Arial" w:cs="Arial"/>
          <w:kern w:val="0"/>
          <w:lang w:eastAsia="uk-UA"/>
          <w14:ligatures w14:val="none"/>
        </w:rPr>
      </w:pPr>
      <w:r w:rsidRPr="002A42FC">
        <w:rPr>
          <w:rFonts w:ascii="Arial" w:eastAsia="Times New Roman" w:hAnsi="Arial" w:cs="Arial"/>
          <w:kern w:val="0"/>
          <w:lang w:eastAsia="uk-UA"/>
          <w14:ligatures w14:val="none"/>
        </w:rPr>
        <w:t xml:space="preserve">1. Стратегічні та оперативні цілі розвитку Миколаївської громади, визначені в </w:t>
      </w:r>
      <w:proofErr w:type="spellStart"/>
      <w:r w:rsidRPr="002A42FC">
        <w:rPr>
          <w:rFonts w:ascii="Arial" w:eastAsia="Times New Roman" w:hAnsi="Arial" w:cs="Arial"/>
          <w:kern w:val="0"/>
          <w:lang w:eastAsia="uk-UA"/>
          <w14:ligatures w14:val="none"/>
        </w:rPr>
        <w:t>проєкті</w:t>
      </w:r>
      <w:proofErr w:type="spellEnd"/>
      <w:r w:rsidRPr="002A42FC">
        <w:rPr>
          <w:rFonts w:ascii="Arial" w:eastAsia="Times New Roman" w:hAnsi="Arial" w:cs="Arial"/>
          <w:kern w:val="0"/>
          <w:lang w:eastAsia="uk-UA"/>
          <w14:ligatures w14:val="none"/>
        </w:rPr>
        <w:t xml:space="preserve"> Стратегії, є актуальними для громади, а в напрацьований План заходів включено важливі для громади технічні завдання на </w:t>
      </w:r>
      <w:proofErr w:type="spellStart"/>
      <w:r w:rsidRPr="002A42FC">
        <w:rPr>
          <w:rFonts w:ascii="Arial" w:eastAsia="Times New Roman" w:hAnsi="Arial" w:cs="Arial"/>
          <w:kern w:val="0"/>
          <w:lang w:eastAsia="uk-UA"/>
          <w14:ligatures w14:val="none"/>
        </w:rPr>
        <w:t>проєкти</w:t>
      </w:r>
      <w:proofErr w:type="spellEnd"/>
      <w:r w:rsidRPr="002A42FC">
        <w:rPr>
          <w:rFonts w:ascii="Arial" w:eastAsia="Times New Roman" w:hAnsi="Arial" w:cs="Arial"/>
          <w:kern w:val="0"/>
          <w:lang w:eastAsia="uk-UA"/>
          <w14:ligatures w14:val="none"/>
        </w:rPr>
        <w:t xml:space="preserve"> та програми. Ці документи розроблено максимально публічно з врахуванням усіх потреб і пропозицій громадськості та бізнесу, які надходили під час відкритих засідань Робочої групи.</w:t>
      </w:r>
    </w:p>
    <w:p w14:paraId="5D1182E8" w14:textId="3C97137E" w:rsidR="002A42FC" w:rsidRPr="002A42FC" w:rsidRDefault="002A42FC" w:rsidP="002A42FC">
      <w:pPr>
        <w:widowControl w:val="0"/>
        <w:spacing w:after="120" w:line="240" w:lineRule="auto"/>
        <w:jc w:val="both"/>
        <w:rPr>
          <w:rFonts w:ascii="Arial" w:eastAsia="Times New Roman" w:hAnsi="Arial" w:cs="Arial"/>
          <w:kern w:val="0"/>
          <w:lang w:eastAsia="uk-UA"/>
          <w14:ligatures w14:val="none"/>
        </w:rPr>
      </w:pPr>
      <w:r w:rsidRPr="002A42FC">
        <w:rPr>
          <w:rFonts w:ascii="Arial" w:eastAsia="Times New Roman" w:hAnsi="Arial" w:cs="Arial"/>
          <w:kern w:val="0"/>
          <w:lang w:eastAsia="uk-UA"/>
          <w14:ligatures w14:val="none"/>
        </w:rPr>
        <w:t xml:space="preserve">2. Подальші пропозиції, що надходитимуть від представників громадськості та інших зацікавлених сторін впродовж громадського обговорення передати на розгляд Робочої групи з розроблення Стратегії і Плану заходів для їх внесення (за потреби) до </w:t>
      </w:r>
      <w:proofErr w:type="spellStart"/>
      <w:r w:rsidRPr="002A42FC">
        <w:rPr>
          <w:rFonts w:ascii="Arial" w:eastAsia="Times New Roman" w:hAnsi="Arial" w:cs="Arial"/>
          <w:kern w:val="0"/>
          <w:lang w:eastAsia="uk-UA"/>
          <w14:ligatures w14:val="none"/>
        </w:rPr>
        <w:t>проєкт</w:t>
      </w:r>
      <w:r w:rsidR="00A208C3">
        <w:rPr>
          <w:rFonts w:ascii="Arial" w:eastAsia="Times New Roman" w:hAnsi="Arial" w:cs="Arial"/>
          <w:kern w:val="0"/>
          <w:lang w:eastAsia="uk-UA"/>
          <w14:ligatures w14:val="none"/>
        </w:rPr>
        <w:t>ів</w:t>
      </w:r>
      <w:proofErr w:type="spellEnd"/>
      <w:r w:rsidRPr="002A42FC">
        <w:rPr>
          <w:rFonts w:ascii="Arial" w:eastAsia="Times New Roman" w:hAnsi="Arial" w:cs="Arial"/>
          <w:kern w:val="0"/>
          <w:lang w:eastAsia="uk-UA"/>
          <w14:ligatures w14:val="none"/>
        </w:rPr>
        <w:t xml:space="preserve"> Стратегії розвитку Миколаївської територіальної громади на період до 2027 року та Плану заходів з її реалізації на 2024-2027 роки.</w:t>
      </w:r>
    </w:p>
    <w:p w14:paraId="472C8F09" w14:textId="62B8EC57" w:rsidR="009A46C5" w:rsidRPr="009A46C5" w:rsidRDefault="002A42FC" w:rsidP="002A42FC">
      <w:pPr>
        <w:widowControl w:val="0"/>
        <w:spacing w:after="120" w:line="240" w:lineRule="auto"/>
        <w:jc w:val="both"/>
        <w:rPr>
          <w:rFonts w:ascii="Arial" w:eastAsia="Times New Roman" w:hAnsi="Arial" w:cs="Arial"/>
          <w:kern w:val="0"/>
        </w:rPr>
      </w:pPr>
      <w:r w:rsidRPr="002A42FC">
        <w:rPr>
          <w:rFonts w:ascii="Arial" w:eastAsia="Times New Roman" w:hAnsi="Arial" w:cs="Arial"/>
          <w:kern w:val="0"/>
          <w:lang w:eastAsia="uk-UA"/>
          <w14:ligatures w14:val="none"/>
        </w:rPr>
        <w:t xml:space="preserve">3. Рекомендувати </w:t>
      </w:r>
      <w:proofErr w:type="spellStart"/>
      <w:r w:rsidRPr="002A42FC">
        <w:rPr>
          <w:rFonts w:ascii="Arial" w:eastAsia="Times New Roman" w:hAnsi="Arial" w:cs="Arial"/>
          <w:kern w:val="0"/>
          <w:lang w:eastAsia="uk-UA"/>
          <w14:ligatures w14:val="none"/>
        </w:rPr>
        <w:t>проєкт</w:t>
      </w:r>
      <w:r w:rsidR="00A208C3">
        <w:rPr>
          <w:rFonts w:ascii="Arial" w:eastAsia="Times New Roman" w:hAnsi="Arial" w:cs="Arial"/>
          <w:kern w:val="0"/>
          <w:lang w:eastAsia="uk-UA"/>
          <w14:ligatures w14:val="none"/>
        </w:rPr>
        <w:t>и</w:t>
      </w:r>
      <w:proofErr w:type="spellEnd"/>
      <w:r w:rsidRPr="002A42FC">
        <w:rPr>
          <w:rFonts w:ascii="Arial" w:eastAsia="Times New Roman" w:hAnsi="Arial" w:cs="Arial"/>
          <w:kern w:val="0"/>
          <w:lang w:eastAsia="uk-UA"/>
          <w14:ligatures w14:val="none"/>
        </w:rPr>
        <w:t xml:space="preserve"> Стратегії розвитку Миколаївської територіальної громади на період до 2027 року та Плану заходів з її реалізації на 2024-2027 роки винести на розгляд сесії міської ради для затвердження.</w:t>
      </w:r>
    </w:p>
    <w:p w14:paraId="569765D0" w14:textId="77777777" w:rsidR="009A46C5" w:rsidRPr="00E03526" w:rsidRDefault="009A46C5" w:rsidP="009A46C5">
      <w:pPr>
        <w:widowControl w:val="0"/>
        <w:spacing w:after="120" w:line="240" w:lineRule="auto"/>
        <w:ind w:firstLine="860"/>
        <w:jc w:val="both"/>
        <w:rPr>
          <w:rFonts w:ascii="Arial" w:eastAsia="Times New Roman" w:hAnsi="Arial" w:cs="Arial"/>
          <w:kern w:val="0"/>
        </w:rPr>
      </w:pPr>
    </w:p>
    <w:p w14:paraId="55D26C95" w14:textId="72F69EC9" w:rsidR="00E03526" w:rsidRPr="009A46C5" w:rsidRDefault="0088055A" w:rsidP="009A46C5">
      <w:pPr>
        <w:autoSpaceDE w:val="0"/>
        <w:autoSpaceDN w:val="0"/>
        <w:adjustRightInd w:val="0"/>
        <w:spacing w:after="120" w:line="240" w:lineRule="auto"/>
        <w:ind w:left="57" w:right="57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hAnsi="Arial" w:cs="Arial"/>
          <w:b/>
          <w:bCs/>
        </w:rPr>
        <w:t>Миколаїв</w:t>
      </w:r>
      <w:r w:rsidR="009A46C5" w:rsidRPr="009A46C5">
        <w:rPr>
          <w:rFonts w:ascii="Arial" w:hAnsi="Arial" w:cs="Arial"/>
          <w:b/>
          <w:bCs/>
        </w:rPr>
        <w:t>ський міський голова</w:t>
      </w:r>
      <w:r w:rsidR="009A46C5" w:rsidRPr="009A46C5">
        <w:rPr>
          <w:rFonts w:ascii="Arial" w:hAnsi="Arial" w:cs="Arial"/>
          <w:b/>
          <w:bCs/>
          <w:color w:val="000000"/>
        </w:rPr>
        <w:t xml:space="preserve">                                                           </w:t>
      </w:r>
      <w:r w:rsidR="002A42FC">
        <w:rPr>
          <w:rFonts w:ascii="Arial" w:hAnsi="Arial" w:cs="Arial"/>
          <w:b/>
          <w:bCs/>
          <w:color w:val="000000"/>
        </w:rPr>
        <w:t xml:space="preserve">   </w:t>
      </w:r>
      <w:r w:rsidR="009A46C5" w:rsidRPr="009A46C5">
        <w:rPr>
          <w:rFonts w:ascii="Arial" w:hAnsi="Arial" w:cs="Arial"/>
          <w:b/>
          <w:bCs/>
          <w:color w:val="000000"/>
        </w:rPr>
        <w:t xml:space="preserve">      </w:t>
      </w:r>
      <w:r w:rsidR="002A42FC" w:rsidRPr="00B64684">
        <w:rPr>
          <w:rFonts w:ascii="Arial" w:hAnsi="Arial" w:cs="Arial"/>
          <w:b/>
          <w:bCs/>
          <w:color w:val="000000"/>
        </w:rPr>
        <w:t>Андрій ЩЕБЕЛЬ</w:t>
      </w:r>
    </w:p>
    <w:p w14:paraId="479F5239" w14:textId="77777777" w:rsidR="009A46C5" w:rsidRPr="009A46C5" w:rsidRDefault="009A46C5" w:rsidP="009A46C5">
      <w:pPr>
        <w:tabs>
          <w:tab w:val="left" w:pos="993"/>
        </w:tabs>
        <w:spacing w:after="0"/>
        <w:ind w:right="-2"/>
        <w:contextualSpacing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sectPr w:rsidR="009A46C5" w:rsidRPr="009A46C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971FA"/>
    <w:multiLevelType w:val="hybridMultilevel"/>
    <w:tmpl w:val="A52E56D0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790F94"/>
    <w:multiLevelType w:val="hybridMultilevel"/>
    <w:tmpl w:val="C31CBF26"/>
    <w:lvl w:ilvl="0" w:tplc="0422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6241E69"/>
    <w:multiLevelType w:val="hybridMultilevel"/>
    <w:tmpl w:val="B4B05DDA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89322B"/>
    <w:multiLevelType w:val="hybridMultilevel"/>
    <w:tmpl w:val="C3D434AC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E3109F"/>
    <w:multiLevelType w:val="hybridMultilevel"/>
    <w:tmpl w:val="A0B23504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8B1DCF"/>
    <w:multiLevelType w:val="hybridMultilevel"/>
    <w:tmpl w:val="7F30B8EC"/>
    <w:lvl w:ilvl="0" w:tplc="0422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6B1D0109"/>
    <w:multiLevelType w:val="hybridMultilevel"/>
    <w:tmpl w:val="CCDE1B48"/>
    <w:lvl w:ilvl="0" w:tplc="0422000F">
      <w:start w:val="1"/>
      <w:numFmt w:val="decimal"/>
      <w:lvlText w:val="%1."/>
      <w:lvlJc w:val="left"/>
      <w:pPr>
        <w:ind w:left="780" w:hanging="360"/>
      </w:p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7C627CB2"/>
    <w:multiLevelType w:val="hybridMultilevel"/>
    <w:tmpl w:val="019069F0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9561679">
    <w:abstractNumId w:val="4"/>
  </w:num>
  <w:num w:numId="2" w16cid:durableId="1886990129">
    <w:abstractNumId w:val="2"/>
  </w:num>
  <w:num w:numId="3" w16cid:durableId="463473610">
    <w:abstractNumId w:val="7"/>
  </w:num>
  <w:num w:numId="4" w16cid:durableId="1997411592">
    <w:abstractNumId w:val="0"/>
  </w:num>
  <w:num w:numId="5" w16cid:durableId="511455500">
    <w:abstractNumId w:val="6"/>
  </w:num>
  <w:num w:numId="6" w16cid:durableId="1653217018">
    <w:abstractNumId w:val="3"/>
  </w:num>
  <w:num w:numId="7" w16cid:durableId="345256476">
    <w:abstractNumId w:val="1"/>
  </w:num>
  <w:num w:numId="8" w16cid:durableId="10426289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000"/>
    <w:rsid w:val="000A2C0B"/>
    <w:rsid w:val="000B5FDB"/>
    <w:rsid w:val="000D13F7"/>
    <w:rsid w:val="000D6EEF"/>
    <w:rsid w:val="000D7556"/>
    <w:rsid w:val="001168EC"/>
    <w:rsid w:val="001200AD"/>
    <w:rsid w:val="001D280C"/>
    <w:rsid w:val="002448DD"/>
    <w:rsid w:val="00247273"/>
    <w:rsid w:val="00283D44"/>
    <w:rsid w:val="002A42FC"/>
    <w:rsid w:val="002A6CCE"/>
    <w:rsid w:val="00333F97"/>
    <w:rsid w:val="003523B7"/>
    <w:rsid w:val="00377C41"/>
    <w:rsid w:val="003B2C98"/>
    <w:rsid w:val="003E1330"/>
    <w:rsid w:val="00465EA0"/>
    <w:rsid w:val="004B5E77"/>
    <w:rsid w:val="004B62BE"/>
    <w:rsid w:val="005058B2"/>
    <w:rsid w:val="005112F0"/>
    <w:rsid w:val="00512224"/>
    <w:rsid w:val="00533068"/>
    <w:rsid w:val="0058660F"/>
    <w:rsid w:val="005923E9"/>
    <w:rsid w:val="0063023C"/>
    <w:rsid w:val="00665000"/>
    <w:rsid w:val="00685E19"/>
    <w:rsid w:val="00687758"/>
    <w:rsid w:val="006D2A53"/>
    <w:rsid w:val="0073320F"/>
    <w:rsid w:val="0074389E"/>
    <w:rsid w:val="00785D2B"/>
    <w:rsid w:val="0079305C"/>
    <w:rsid w:val="007E608E"/>
    <w:rsid w:val="0088055A"/>
    <w:rsid w:val="008A28F5"/>
    <w:rsid w:val="008D3C70"/>
    <w:rsid w:val="008E2BD1"/>
    <w:rsid w:val="008E3A45"/>
    <w:rsid w:val="00911B89"/>
    <w:rsid w:val="00966F1D"/>
    <w:rsid w:val="00992AB8"/>
    <w:rsid w:val="009A46C5"/>
    <w:rsid w:val="00A01009"/>
    <w:rsid w:val="00A208C3"/>
    <w:rsid w:val="00AD5190"/>
    <w:rsid w:val="00AF5391"/>
    <w:rsid w:val="00B00D1F"/>
    <w:rsid w:val="00B51B4B"/>
    <w:rsid w:val="00B538EE"/>
    <w:rsid w:val="00C34B7C"/>
    <w:rsid w:val="00C769C6"/>
    <w:rsid w:val="00C85F58"/>
    <w:rsid w:val="00D161F4"/>
    <w:rsid w:val="00D677B9"/>
    <w:rsid w:val="00D75A36"/>
    <w:rsid w:val="00D953BB"/>
    <w:rsid w:val="00E03526"/>
    <w:rsid w:val="00E168B7"/>
    <w:rsid w:val="00E81591"/>
    <w:rsid w:val="00EF1645"/>
    <w:rsid w:val="00F14435"/>
    <w:rsid w:val="00F513BC"/>
    <w:rsid w:val="00FE6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D922A"/>
  <w15:chartTrackingRefBased/>
  <w15:docId w15:val="{CAC6F660-A497-464A-937F-FD5643AD0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5190"/>
    <w:pPr>
      <w:ind w:left="720"/>
      <w:contextualSpacing/>
    </w:pPr>
  </w:style>
  <w:style w:type="table" w:styleId="a4">
    <w:name w:val="Table Grid"/>
    <w:basedOn w:val="a1"/>
    <w:uiPriority w:val="39"/>
    <w:rsid w:val="002472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ітка таблиці1"/>
    <w:basedOn w:val="a1"/>
    <w:next w:val="a4"/>
    <w:uiPriority w:val="39"/>
    <w:rsid w:val="00A01009"/>
    <w:pPr>
      <w:spacing w:after="0" w:line="240" w:lineRule="auto"/>
    </w:pPr>
    <w:rPr>
      <w:kern w:val="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3306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table" w:customStyle="1" w:styleId="2">
    <w:name w:val="Сітка таблиці2"/>
    <w:basedOn w:val="a1"/>
    <w:next w:val="a4"/>
    <w:uiPriority w:val="39"/>
    <w:rsid w:val="00E03526"/>
    <w:pPr>
      <w:spacing w:after="0" w:line="240" w:lineRule="auto"/>
    </w:pPr>
    <w:rPr>
      <w:kern w:val="0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88055A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8805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ykolaivmr.gov.ua/inst/povidomlennya-pro-oprylyudnennya-proyektu-dokumenta-derzhavnogo-planuvannya-ta-zvitu-pro-strategichnu-ekologichnu-oczinku/" TargetMode="External"/><Relationship Id="rId5" Type="http://schemas.openxmlformats.org/officeDocument/2006/relationships/hyperlink" Target="https://mykolaivmr.gov.ua/catp/strategiya-rozvytku-gromad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5332</Words>
  <Characters>3040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</cp:revision>
  <dcterms:created xsi:type="dcterms:W3CDTF">2023-12-22T09:11:00Z</dcterms:created>
  <dcterms:modified xsi:type="dcterms:W3CDTF">2023-12-22T09:49:00Z</dcterms:modified>
</cp:coreProperties>
</file>