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6307" w14:textId="7D8245CC" w:rsidR="00465EA0" w:rsidRPr="00896047" w:rsidRDefault="00AC41F5" w:rsidP="008960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C966D" wp14:editId="5DBB4E0E">
                <wp:simplePos x="0" y="0"/>
                <wp:positionH relativeFrom="column">
                  <wp:posOffset>4868545</wp:posOffset>
                </wp:positionH>
                <wp:positionV relativeFrom="paragraph">
                  <wp:posOffset>-212090</wp:posOffset>
                </wp:positionV>
                <wp:extent cx="914400" cy="35052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66FC0" w14:textId="6ACED42D" w:rsidR="00AC41F5" w:rsidRPr="00AC41F5" w:rsidRDefault="00AC41F5" w:rsidP="00AC4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C41F5"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C966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35pt;margin-top:-16.7pt;width:1in;height:27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" fillcolor="white [3201]" stroked="f" strokeweight=".5pt">
                <v:textbox>
                  <w:txbxContent>
                    <w:p w14:paraId="1A466FC0" w14:textId="6ACED42D" w:rsidR="00AC41F5" w:rsidRPr="00AC41F5" w:rsidRDefault="00AC41F5" w:rsidP="00AC41F5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 w:rsidRPr="00AC41F5"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="00896047" w:rsidRPr="00896047">
        <w:rPr>
          <w:rFonts w:ascii="Arial" w:hAnsi="Arial" w:cs="Arial"/>
          <w:b/>
          <w:bCs/>
        </w:rPr>
        <w:t xml:space="preserve">ТЕХНІЧНЕ ЗАВДАННЯ </w:t>
      </w:r>
      <w:r w:rsidR="00896047" w:rsidRPr="00896047">
        <w:rPr>
          <w:rFonts w:ascii="Arial" w:hAnsi="Arial" w:cs="Arial"/>
          <w:b/>
          <w:bCs/>
        </w:rPr>
        <w:br/>
        <w:t xml:space="preserve">на </w:t>
      </w:r>
      <w:proofErr w:type="spellStart"/>
      <w:r w:rsidR="00896047" w:rsidRPr="00896047">
        <w:rPr>
          <w:rFonts w:ascii="Arial" w:hAnsi="Arial" w:cs="Arial"/>
          <w:b/>
          <w:bCs/>
        </w:rPr>
        <w:t>проєкт</w:t>
      </w:r>
      <w:proofErr w:type="spellEnd"/>
      <w:r w:rsidR="00896047" w:rsidRPr="00896047">
        <w:rPr>
          <w:rFonts w:ascii="Arial" w:hAnsi="Arial" w:cs="Arial"/>
          <w:b/>
          <w:bCs/>
        </w:rPr>
        <w:t xml:space="preserve"> місцевого розвитку до Плану заходів з реалізації Стратегії</w:t>
      </w:r>
    </w:p>
    <w:tbl>
      <w:tblPr>
        <w:tblW w:w="10207" w:type="dxa"/>
        <w:tblInd w:w="-2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1293"/>
        <w:gridCol w:w="992"/>
        <w:gridCol w:w="1057"/>
        <w:gridCol w:w="1069"/>
        <w:gridCol w:w="3527"/>
      </w:tblGrid>
      <w:tr w:rsidR="0084397F" w:rsidRPr="0086530E" w14:paraId="162813D4" w14:textId="77777777" w:rsidTr="00EF4AD0">
        <w:trPr>
          <w:trHeight w:val="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8D72F02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Назва </w:t>
            </w:r>
            <w:proofErr w:type="spellStart"/>
            <w:r w:rsidRPr="0086530E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23353F1" w14:textId="484301C2" w:rsidR="00C333A2" w:rsidRPr="0086530E" w:rsidRDefault="00BC6A1D" w:rsidP="00AC41F5">
            <w:pPr>
              <w:spacing w:after="0" w:line="240" w:lineRule="auto"/>
              <w:ind w:right="125" w:firstLine="563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uk-UA"/>
                <w14:ligatures w14:val="none"/>
              </w:rPr>
              <w:t xml:space="preserve">Реконструкція приміщень першого та третього поверхів поліклініко-терапевтичного відділення КНП «Моршинська міська лікарня» по вул. 50-річчя УПА, 20 у </w:t>
            </w:r>
            <w:proofErr w:type="spellStart"/>
            <w:r w:rsidRPr="008653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uk-UA"/>
                <w14:ligatures w14:val="none"/>
              </w:rPr>
              <w:t>м.Моршин</w:t>
            </w:r>
            <w:proofErr w:type="spellEnd"/>
            <w:r w:rsidRPr="008653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uk-UA"/>
                <w14:ligatures w14:val="none"/>
              </w:rPr>
              <w:t xml:space="preserve"> Львівської області</w:t>
            </w:r>
          </w:p>
        </w:tc>
      </w:tr>
      <w:tr w:rsidR="0084397F" w:rsidRPr="0086530E" w14:paraId="0817C6F8" w14:textId="77777777" w:rsidTr="00EF4AD0">
        <w:trPr>
          <w:trHeight w:val="6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1A8D663D" w14:textId="023445B6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Номер і назва завдання </w:t>
            </w:r>
            <w:r w:rsidR="003170E5"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С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тратегії, якому відповідає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D97EACE" w14:textId="1C9F4F22" w:rsidR="0084397F" w:rsidRPr="0086530E" w:rsidRDefault="00E17C9C" w:rsidP="00AC41F5">
            <w:pPr>
              <w:spacing w:after="0" w:line="240" w:lineRule="auto"/>
              <w:ind w:right="125" w:firstLine="563"/>
              <w:jc w:val="both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В.1.2.1. Зміцнення матеріально-технічної бази закладів освіти, охорони здоров’я та культури</w:t>
            </w:r>
          </w:p>
        </w:tc>
      </w:tr>
      <w:tr w:rsidR="0084397F" w:rsidRPr="0086530E" w14:paraId="367C845E" w14:textId="77777777" w:rsidTr="00EF4AD0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1338BB50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Мета та завдання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26F64D7" w14:textId="05513DF1" w:rsidR="00C302E0" w:rsidRPr="0086530E" w:rsidRDefault="00A729EF" w:rsidP="00AC41F5">
            <w:pPr>
              <w:spacing w:after="0" w:line="240" w:lineRule="auto"/>
              <w:ind w:firstLine="56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Зменшення захворюваності серед населення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громади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, створення сприятливих умов для лікування хворих шляхом проведення реконструкції корпус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у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лікарні</w:t>
            </w:r>
          </w:p>
        </w:tc>
      </w:tr>
      <w:tr w:rsidR="0084397F" w:rsidRPr="0086530E" w14:paraId="1E03E58B" w14:textId="77777777" w:rsidTr="00EF4AD0">
        <w:trPr>
          <w:trHeight w:val="4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61EED227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Територія, на яку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</w:t>
            </w:r>
            <w:proofErr w:type="spellEnd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матиме вплив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201115D" w14:textId="0263E009" w:rsidR="0084397F" w:rsidRPr="0086530E" w:rsidRDefault="00A729EF" w:rsidP="00AC41F5">
            <w:pPr>
              <w:spacing w:after="0" w:line="240" w:lineRule="auto"/>
              <w:ind w:right="125" w:firstLine="563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Моршинська ТГ</w:t>
            </w:r>
          </w:p>
        </w:tc>
      </w:tr>
      <w:tr w:rsidR="0084397F" w:rsidRPr="0086530E" w14:paraId="768B3730" w14:textId="77777777" w:rsidTr="00EF4AD0">
        <w:trPr>
          <w:trHeight w:val="5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1689C749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Цільові групи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та кінцеві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бенефіціари</w:t>
            </w:r>
            <w:proofErr w:type="spellEnd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4A64F57" w14:textId="59FD97ED" w:rsidR="0084397F" w:rsidRPr="0086530E" w:rsidRDefault="00A729EF" w:rsidP="00AC41F5">
            <w:pPr>
              <w:spacing w:after="0" w:line="240" w:lineRule="auto"/>
              <w:ind w:right="125" w:firstLine="563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Цільов</w:t>
            </w:r>
            <w:r w:rsidR="00E17C9C"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і</w:t>
            </w:r>
            <w:r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 xml:space="preserve"> груп</w:t>
            </w:r>
            <w:r w:rsidR="00E17C9C"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 xml:space="preserve">и: </w:t>
            </w:r>
            <w:r w:rsidR="00E17C9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1)</w:t>
            </w:r>
            <w:r w:rsidR="00E17C9C"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більше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14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тис. осіб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мешканці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в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Моршинської громади</w:t>
            </w:r>
            <w:r w:rsidR="00E17C9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;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E17C9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2)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жителі інших прилеглих територій</w:t>
            </w:r>
            <w:r w:rsidR="00E17C9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; </w:t>
            </w:r>
            <w:r w:rsidR="00157CF2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3) близько 10 тис. осіб на рік з числа туристів та відпочиваючих в</w:t>
            </w:r>
            <w:r w:rsidR="00157CF2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санаторно-курортних закладах</w:t>
            </w:r>
            <w:r w:rsidR="00157CF2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; 4</w:t>
            </w:r>
            <w:r w:rsidR="00E17C9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)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особи, які подорожують територією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Стрийського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району та проїжджають автодорогою національного значення Н-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Стрий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-І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вано-Франківськ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Чернівці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пропускний пункт Мамалига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, що п</w:t>
            </w:r>
            <w:r w:rsidR="00FF0E5C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роходить територією Львівської, Івано-Франківської та Чернівецької областей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  <w:p w14:paraId="5AD69E7E" w14:textId="39221586" w:rsidR="00E17C9C" w:rsidRPr="0086530E" w:rsidRDefault="00E17C9C" w:rsidP="00AC41F5">
            <w:pPr>
              <w:spacing w:after="0" w:line="240" w:lineRule="auto"/>
              <w:ind w:right="125" w:firstLine="563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Бенефіціари</w:t>
            </w:r>
            <w:proofErr w:type="spellEnd"/>
            <w:r w:rsidRPr="008653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 xml:space="preserve">: </w:t>
            </w:r>
            <w:r w:rsidR="002B301C" w:rsidRPr="002B301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близько 5 тис. пролікованих хворих на рік</w:t>
            </w:r>
            <w:r w:rsidR="0016538B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</w:tr>
      <w:tr w:rsidR="0084397F" w:rsidRPr="0086530E" w14:paraId="712B461D" w14:textId="77777777" w:rsidTr="00EF4AD0">
        <w:trPr>
          <w:trHeight w:val="6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5D13076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Опис проблеми, на вирішення якої спрямований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1A0B58B" w14:textId="11B2F78A" w:rsidR="00C06D27" w:rsidRPr="0086530E" w:rsidRDefault="00C06D27" w:rsidP="00DB762D">
            <w:pPr>
              <w:spacing w:after="0" w:line="240" w:lineRule="auto"/>
              <w:ind w:right="125" w:firstLine="563"/>
              <w:contextualSpacing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Актуальною проблемою для громади є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покращення умов надання  медичної допомоги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Моршинською міською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лікарн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ею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.  </w:t>
            </w:r>
          </w:p>
          <w:p w14:paraId="4882F1FB" w14:textId="77777777" w:rsidR="00C302E0" w:rsidRDefault="00C06D27" w:rsidP="00DB762D">
            <w:pPr>
              <w:spacing w:after="0" w:line="240" w:lineRule="auto"/>
              <w:ind w:right="125" w:firstLine="563"/>
              <w:contextualSpacing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Корпуси лікарні збудовані в різні роки ХХ століт</w:t>
            </w:r>
            <w:r w:rsidR="00DA58EA"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тя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та потребують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ремонту, зокрема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проведення заходів з енергозбереження.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Д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ля ефективного функціонування поліклініко-терапевтичного відділення лікарні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на 38 ліжко-місць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крім заміни покрівлі, необхідно провести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реконструкцію системи опалення, заміну інженерних мереж, каналізації,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утеплення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підлоги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та завершити заміну ще 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0% старих дерев'яних вікон на нові енергозберігаючі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та дверей</w:t>
            </w: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78A87206" w14:textId="5DECB4AC" w:rsidR="00EF4AD0" w:rsidRPr="0086530E" w:rsidRDefault="00EF4AD0" w:rsidP="00DB762D">
            <w:pPr>
              <w:spacing w:after="0" w:line="240" w:lineRule="auto"/>
              <w:ind w:right="125" w:firstLine="563"/>
              <w:contextualSpacing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Відповідно до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проєктно</w:t>
            </w:r>
            <w:proofErr w:type="spellEnd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-кошторисної документації загальна вартість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проєкту</w:t>
            </w:r>
            <w:proofErr w:type="spellEnd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становить 11230,69 тис. грн, залишкова вартість – 2900,0 тис. грн. Виконано робіт на суму 8330,69 тис. грн.</w:t>
            </w:r>
          </w:p>
        </w:tc>
      </w:tr>
      <w:tr w:rsidR="0084397F" w:rsidRPr="0086530E" w14:paraId="7E9A09D5" w14:textId="77777777" w:rsidTr="00EF4AD0">
        <w:trPr>
          <w:trHeight w:val="6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242DC325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Очікувані результати від реалізації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(кількісні і якісні)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6B038C1" w14:textId="0C2E7A9D" w:rsidR="0084397F" w:rsidRPr="0086530E" w:rsidRDefault="002C5A40" w:rsidP="0086530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38 ліжко-місць для лікування хворих з високими стандартами.</w:t>
            </w:r>
          </w:p>
          <w:p w14:paraId="5FB6FFD9" w14:textId="0D40D21E" w:rsidR="002C5A40" w:rsidRPr="0086530E" w:rsidRDefault="002C5A40" w:rsidP="0086530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1479,8 м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vertAlign w:val="superscript"/>
                <w:lang w:eastAsia="uk-UA"/>
                <w14:ligatures w14:val="none"/>
              </w:rPr>
              <w:t>2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(1 та 3 поверхи) відремонтованої площі будівлі.</w:t>
            </w:r>
          </w:p>
          <w:p w14:paraId="12F1328E" w14:textId="539577F6" w:rsidR="002C5A40" w:rsidRPr="0086530E" w:rsidRDefault="0086530E" w:rsidP="0086530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Забезпечено зростання температурного режиму в приміщенні на 4 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vertAlign w:val="superscript"/>
                <w:lang w:eastAsia="uk-UA"/>
                <w14:ligatures w14:val="none"/>
              </w:rPr>
              <w:t>0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С</w:t>
            </w:r>
            <w:r w:rsidR="002C5A40"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.</w:t>
            </w:r>
          </w:p>
          <w:p w14:paraId="47ED887D" w14:textId="614D97FA" w:rsidR="00DA58EA" w:rsidRPr="0086530E" w:rsidRDefault="002C5A40" w:rsidP="0086530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З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меншен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о </w:t>
            </w:r>
            <w:r w:rsidR="00DA58EA"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річний 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обсяг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витрат на енергоносії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на 20% завдяки заміні покрівлі, утепленні підлоги, заміні вікон та дверей.</w:t>
            </w:r>
          </w:p>
        </w:tc>
      </w:tr>
      <w:tr w:rsidR="0084397F" w:rsidRPr="0086530E" w14:paraId="01643BB6" w14:textId="77777777" w:rsidTr="00EF4AD0">
        <w:trPr>
          <w:trHeight w:val="4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76783C31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Основні заходи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DC849D8" w14:textId="046D39BC" w:rsidR="0084397F" w:rsidRPr="0086530E" w:rsidRDefault="00DA58EA" w:rsidP="0086530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коригування ПКД та експертиза;</w:t>
            </w:r>
          </w:p>
          <w:p w14:paraId="135BD1AD" w14:textId="237C07F8" w:rsidR="00DA58EA" w:rsidRPr="0086530E" w:rsidRDefault="00DA58EA" w:rsidP="0086530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проведення </w:t>
            </w:r>
            <w:r w:rsidR="00C51AD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тендерних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процедур (за необхідності) та договірних з підрядною організацією;</w:t>
            </w:r>
          </w:p>
          <w:p w14:paraId="154F718D" w14:textId="77777777" w:rsidR="0086530E" w:rsidRPr="0086530E" w:rsidRDefault="00DA58EA" w:rsidP="0086530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проведення внутрішньо будівельних робіт на 1 та 3 поверхах лікарні;</w:t>
            </w:r>
            <w:r w:rsidR="0086530E" w:rsidRPr="00865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56A853" w14:textId="5A90A32E" w:rsidR="0086530E" w:rsidRPr="0086530E" w:rsidRDefault="0086530E" w:rsidP="0086530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з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амін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а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інженерн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их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мереж, каналізації.</w:t>
            </w:r>
          </w:p>
          <w:p w14:paraId="66843CA3" w14:textId="1124473A" w:rsidR="0086530E" w:rsidRPr="0086530E" w:rsidRDefault="0086530E" w:rsidP="0086530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р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еконстру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кція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систем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и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опалення, замін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а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радіатор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ів;</w:t>
            </w:r>
          </w:p>
          <w:p w14:paraId="6F0DD9AA" w14:textId="0704105F" w:rsidR="00DA58EA" w:rsidRPr="00C51ADE" w:rsidRDefault="00FF6F47" w:rsidP="00C51AD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з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амін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а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покрівлі, утеплен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ня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підлоги, замін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а </w:t>
            </w:r>
            <w:r w:rsidR="0086530E"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вікон та дверей.</w:t>
            </w:r>
          </w:p>
        </w:tc>
      </w:tr>
      <w:tr w:rsidR="0084397F" w:rsidRPr="0086530E" w14:paraId="34AFE428" w14:textId="77777777" w:rsidTr="00EF4AD0">
        <w:trPr>
          <w:trHeight w:val="4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7D535D5A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Період реалізації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231344B" w14:textId="5A66DB60" w:rsidR="0084397F" w:rsidRPr="0086530E" w:rsidRDefault="0086530E" w:rsidP="00443830">
            <w:pPr>
              <w:spacing w:after="0" w:line="240" w:lineRule="auto"/>
              <w:ind w:right="125" w:firstLine="558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2024 рік</w:t>
            </w:r>
          </w:p>
        </w:tc>
      </w:tr>
      <w:tr w:rsidR="0084397F" w:rsidRPr="0086530E" w14:paraId="6722ED47" w14:textId="77777777" w:rsidTr="00EF4AD0">
        <w:trPr>
          <w:trHeight w:val="2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AD0B43D" w14:textId="5C9D556A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Орієнтовн</w:t>
            </w:r>
            <w:r w:rsidR="00C302E0"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ий</w:t>
            </w: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 обсяг фінансування, тис. грн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39F739C" w14:textId="08BD930E" w:rsidR="0084397F" w:rsidRPr="0086530E" w:rsidRDefault="0086530E" w:rsidP="00443830">
            <w:pPr>
              <w:spacing w:after="0" w:line="240" w:lineRule="auto"/>
              <w:ind w:right="125" w:firstLine="558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2900,0</w:t>
            </w:r>
          </w:p>
        </w:tc>
      </w:tr>
      <w:tr w:rsidR="00896047" w:rsidRPr="0086530E" w14:paraId="05E8C246" w14:textId="77777777" w:rsidTr="00C51ADE">
        <w:trPr>
          <w:trHeight w:val="1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1F5B32E" w14:textId="77777777" w:rsidR="00896047" w:rsidRPr="0086530E" w:rsidRDefault="00896047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у тому числі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B87046A" w14:textId="77777777" w:rsidR="00896047" w:rsidRPr="0086530E" w:rsidRDefault="00896047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1A05" w14:textId="77777777" w:rsidR="00896047" w:rsidRPr="0086530E" w:rsidRDefault="00896047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FE8A" w14:textId="77777777" w:rsidR="00896047" w:rsidRPr="0086530E" w:rsidRDefault="00896047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2026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F457" w14:textId="77777777" w:rsidR="00896047" w:rsidRPr="0086530E" w:rsidRDefault="00896047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2027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58FE" w14:textId="77777777" w:rsidR="00896047" w:rsidRPr="0086530E" w:rsidRDefault="00896047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Усього</w:t>
            </w:r>
          </w:p>
        </w:tc>
      </w:tr>
      <w:tr w:rsidR="00896047" w:rsidRPr="0086530E" w14:paraId="5124F096" w14:textId="77777777" w:rsidTr="00EF4AD0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D719B2C" w14:textId="77777777" w:rsidR="00896047" w:rsidRPr="0086530E" w:rsidRDefault="00896047" w:rsidP="0086530E">
            <w:pPr>
              <w:numPr>
                <w:ilvl w:val="0"/>
                <w:numId w:val="1"/>
              </w:numPr>
              <w:spacing w:after="0" w:line="240" w:lineRule="auto"/>
              <w:ind w:left="411" w:right="125" w:hanging="284"/>
              <w:contextualSpacing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державний бюджет (ДФРР)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49627FE" w14:textId="6BBF2C84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078D" w14:textId="201BB925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829E" w14:textId="629A7736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AB6F" w14:textId="5ADC4A5A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9877" w14:textId="4A9176D9" w:rsidR="00896047" w:rsidRPr="0086530E" w:rsidRDefault="0086530E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</w:p>
        </w:tc>
      </w:tr>
      <w:tr w:rsidR="00896047" w:rsidRPr="0086530E" w14:paraId="328F4712" w14:textId="77777777" w:rsidTr="00EF4AD0">
        <w:trPr>
          <w:trHeight w:val="2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12E7ECA" w14:textId="77777777" w:rsidR="00896047" w:rsidRPr="0086530E" w:rsidRDefault="00896047" w:rsidP="0086530E">
            <w:pPr>
              <w:numPr>
                <w:ilvl w:val="0"/>
                <w:numId w:val="1"/>
              </w:numPr>
              <w:spacing w:after="0" w:line="240" w:lineRule="auto"/>
              <w:ind w:left="411" w:right="125" w:hanging="284"/>
              <w:contextualSpacing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F1D98B4" w14:textId="3550192A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0A42" w14:textId="501D4293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49CA" w14:textId="0D8FE01D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8CA0" w14:textId="639582CA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791F" w14:textId="69715406" w:rsidR="00896047" w:rsidRPr="0086530E" w:rsidRDefault="0086530E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1000,0</w:t>
            </w:r>
          </w:p>
        </w:tc>
      </w:tr>
      <w:tr w:rsidR="00896047" w:rsidRPr="0086530E" w14:paraId="152B3C49" w14:textId="77777777" w:rsidTr="00EF4AD0">
        <w:trPr>
          <w:trHeight w:val="2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DA648D8" w14:textId="77777777" w:rsidR="00896047" w:rsidRPr="0086530E" w:rsidRDefault="00896047" w:rsidP="0086530E">
            <w:pPr>
              <w:numPr>
                <w:ilvl w:val="0"/>
                <w:numId w:val="1"/>
              </w:numPr>
              <w:spacing w:after="0" w:line="240" w:lineRule="auto"/>
              <w:ind w:left="411" w:right="125" w:hanging="284"/>
              <w:contextualSpacing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місцевий бюджет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0F48640" w14:textId="0E74E104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F129" w14:textId="79C75972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64F" w14:textId="6FBF50FD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61F5" w14:textId="1992ED61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C2C1" w14:textId="26A80191" w:rsidR="00896047" w:rsidRPr="0086530E" w:rsidRDefault="0086530E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1700,0</w:t>
            </w:r>
          </w:p>
        </w:tc>
      </w:tr>
      <w:tr w:rsidR="00896047" w:rsidRPr="0086530E" w14:paraId="5A3FE0DC" w14:textId="77777777" w:rsidTr="00EF4AD0">
        <w:trPr>
          <w:trHeight w:val="2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6B46BA6" w14:textId="77777777" w:rsidR="00896047" w:rsidRPr="0086530E" w:rsidRDefault="00896047" w:rsidP="0086530E">
            <w:pPr>
              <w:numPr>
                <w:ilvl w:val="0"/>
                <w:numId w:val="1"/>
              </w:numPr>
              <w:spacing w:after="0" w:line="240" w:lineRule="auto"/>
              <w:ind w:left="411" w:right="125" w:hanging="284"/>
              <w:contextualSpacing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інші джерела (зазначити)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E7CC16F" w14:textId="60E6526E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77D1" w14:textId="34A95245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B7B" w14:textId="5EC5E51A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BF81" w14:textId="68F2ED96" w:rsidR="00896047" w:rsidRPr="0086530E" w:rsidRDefault="0086530E" w:rsidP="0086530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530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9F31" w14:textId="0F4EEC79" w:rsidR="00896047" w:rsidRPr="0086530E" w:rsidRDefault="0086530E" w:rsidP="0086530E">
            <w:pPr>
              <w:spacing w:after="0" w:line="240" w:lineRule="auto"/>
              <w:ind w:right="1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200,0</w:t>
            </w:r>
          </w:p>
        </w:tc>
      </w:tr>
      <w:tr w:rsidR="0084397F" w:rsidRPr="0086530E" w14:paraId="243CE19C" w14:textId="77777777" w:rsidTr="00EF4AD0">
        <w:trPr>
          <w:trHeight w:val="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FA22B64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 xml:space="preserve">Ключові учасники </w:t>
            </w:r>
            <w:proofErr w:type="spellStart"/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9AEB2C" w14:textId="500F0E25" w:rsidR="00C302E0" w:rsidRPr="0086530E" w:rsidRDefault="0086530E" w:rsidP="00AC41F5">
            <w:pPr>
              <w:spacing w:after="0" w:line="240" w:lineRule="auto"/>
              <w:ind w:right="125" w:firstLine="563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КНП «Моршинська міська лікарня», Моршинська міська рада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Львівська обласна </w:t>
            </w:r>
            <w:r w:rsidR="00DB762D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державна </w:t>
            </w:r>
            <w:r w:rsidRPr="0086530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адміністрація,  </w:t>
            </w:r>
            <w:r w:rsidR="00DB762D" w:rsidRPr="00DB762D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Міжнародна організація з міграції (МОМ)</w:t>
            </w:r>
          </w:p>
        </w:tc>
      </w:tr>
      <w:tr w:rsidR="0084397F" w:rsidRPr="0086530E" w14:paraId="6177BF08" w14:textId="77777777" w:rsidTr="00EF4AD0">
        <w:trPr>
          <w:trHeight w:val="4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EA7E36E" w14:textId="77777777" w:rsidR="0084397F" w:rsidRPr="0086530E" w:rsidRDefault="0084397F" w:rsidP="0086530E">
            <w:pPr>
              <w:spacing w:after="0" w:line="240" w:lineRule="auto"/>
              <w:ind w:right="125"/>
              <w:textAlignment w:val="baseline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</w:pPr>
            <w:r w:rsidRPr="0086530E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uk-UA"/>
                <w14:ligatures w14:val="none"/>
              </w:rPr>
              <w:t>Інша інформація щодо технічного завдання (за потреби)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14DD9BA" w14:textId="09D11842" w:rsidR="0084397F" w:rsidRPr="0086530E" w:rsidRDefault="00DB762D" w:rsidP="00DB762D">
            <w:pPr>
              <w:spacing w:after="0" w:line="240" w:lineRule="auto"/>
              <w:ind w:right="125" w:firstLine="56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Фінансування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буде проводитися в рамках Програми капітального будівництва об’єктів соціально-культурного та житлово-комунального призначення за рахунок коштів бюджету розвитку обласного бюджету</w:t>
            </w:r>
            <w:r w:rsidR="00C51AD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  <w:p w14:paraId="19CCD0EC" w14:textId="684A69FE" w:rsidR="00C302E0" w:rsidRPr="0086530E" w:rsidRDefault="00DB762D" w:rsidP="00DB762D">
            <w:pPr>
              <w:spacing w:after="0" w:line="240" w:lineRule="auto"/>
              <w:ind w:right="125" w:firstLine="56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Для покращення умов лікування внутрішньо переміщених осіб допомогу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надасть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DB762D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Міжнародна організація з міграції (МОМ)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шляхом діяльності мобільних бригад</w:t>
            </w:r>
            <w:r w:rsidR="00C51ADE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</w:tr>
    </w:tbl>
    <w:p w14:paraId="7A060E00" w14:textId="77777777" w:rsidR="0084397F" w:rsidRPr="00DB762D" w:rsidRDefault="0084397F"/>
    <w:sectPr w:rsidR="0084397F" w:rsidRPr="00DB762D" w:rsidSect="00EF4AD0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4DC"/>
    <w:multiLevelType w:val="hybridMultilevel"/>
    <w:tmpl w:val="2174C3B0"/>
    <w:lvl w:ilvl="0" w:tplc="0422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D925170"/>
    <w:multiLevelType w:val="hybridMultilevel"/>
    <w:tmpl w:val="0DA6E686"/>
    <w:lvl w:ilvl="0" w:tplc="04220005">
      <w:start w:val="1"/>
      <w:numFmt w:val="bullet"/>
      <w:lvlText w:val=""/>
      <w:lvlJc w:val="left"/>
      <w:pPr>
        <w:ind w:left="113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1065716"/>
    <w:multiLevelType w:val="hybridMultilevel"/>
    <w:tmpl w:val="7D1864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178A"/>
    <w:multiLevelType w:val="hybridMultilevel"/>
    <w:tmpl w:val="9276386A"/>
    <w:lvl w:ilvl="0" w:tplc="6868BA4C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0" w:hanging="360"/>
      </w:pPr>
    </w:lvl>
    <w:lvl w:ilvl="2" w:tplc="0422001B" w:tentative="1">
      <w:start w:val="1"/>
      <w:numFmt w:val="lowerRoman"/>
      <w:lvlText w:val="%3."/>
      <w:lvlJc w:val="right"/>
      <w:pPr>
        <w:ind w:left="1930" w:hanging="180"/>
      </w:pPr>
    </w:lvl>
    <w:lvl w:ilvl="3" w:tplc="0422000F" w:tentative="1">
      <w:start w:val="1"/>
      <w:numFmt w:val="decimal"/>
      <w:lvlText w:val="%4."/>
      <w:lvlJc w:val="left"/>
      <w:pPr>
        <w:ind w:left="2650" w:hanging="360"/>
      </w:pPr>
    </w:lvl>
    <w:lvl w:ilvl="4" w:tplc="04220019" w:tentative="1">
      <w:start w:val="1"/>
      <w:numFmt w:val="lowerLetter"/>
      <w:lvlText w:val="%5."/>
      <w:lvlJc w:val="left"/>
      <w:pPr>
        <w:ind w:left="3370" w:hanging="360"/>
      </w:pPr>
    </w:lvl>
    <w:lvl w:ilvl="5" w:tplc="0422001B" w:tentative="1">
      <w:start w:val="1"/>
      <w:numFmt w:val="lowerRoman"/>
      <w:lvlText w:val="%6."/>
      <w:lvlJc w:val="right"/>
      <w:pPr>
        <w:ind w:left="4090" w:hanging="180"/>
      </w:pPr>
    </w:lvl>
    <w:lvl w:ilvl="6" w:tplc="0422000F" w:tentative="1">
      <w:start w:val="1"/>
      <w:numFmt w:val="decimal"/>
      <w:lvlText w:val="%7."/>
      <w:lvlJc w:val="left"/>
      <w:pPr>
        <w:ind w:left="4810" w:hanging="360"/>
      </w:pPr>
    </w:lvl>
    <w:lvl w:ilvl="7" w:tplc="04220019" w:tentative="1">
      <w:start w:val="1"/>
      <w:numFmt w:val="lowerLetter"/>
      <w:lvlText w:val="%8."/>
      <w:lvlJc w:val="left"/>
      <w:pPr>
        <w:ind w:left="5530" w:hanging="360"/>
      </w:pPr>
    </w:lvl>
    <w:lvl w:ilvl="8" w:tplc="0422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6C762FC6"/>
    <w:multiLevelType w:val="hybridMultilevel"/>
    <w:tmpl w:val="497EE87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F3F75"/>
    <w:multiLevelType w:val="hybridMultilevel"/>
    <w:tmpl w:val="E8860228"/>
    <w:lvl w:ilvl="0" w:tplc="F3AA6D42">
      <w:start w:val="1"/>
      <w:numFmt w:val="bullet"/>
      <w:lvlText w:val="-"/>
      <w:lvlJc w:val="left"/>
      <w:pPr>
        <w:ind w:left="491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209872800">
    <w:abstractNumId w:val="0"/>
  </w:num>
  <w:num w:numId="2" w16cid:durableId="235358728">
    <w:abstractNumId w:val="4"/>
  </w:num>
  <w:num w:numId="3" w16cid:durableId="1708601113">
    <w:abstractNumId w:val="1"/>
  </w:num>
  <w:num w:numId="4" w16cid:durableId="2105372622">
    <w:abstractNumId w:val="2"/>
  </w:num>
  <w:num w:numId="5" w16cid:durableId="1870072259">
    <w:abstractNumId w:val="3"/>
  </w:num>
  <w:num w:numId="6" w16cid:durableId="54768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8E"/>
    <w:rsid w:val="0012408E"/>
    <w:rsid w:val="00157CF2"/>
    <w:rsid w:val="0016538B"/>
    <w:rsid w:val="002A6CCE"/>
    <w:rsid w:val="002B301C"/>
    <w:rsid w:val="002C5A40"/>
    <w:rsid w:val="003170E5"/>
    <w:rsid w:val="003523B7"/>
    <w:rsid w:val="00372998"/>
    <w:rsid w:val="00443830"/>
    <w:rsid w:val="00465EA0"/>
    <w:rsid w:val="004B5E77"/>
    <w:rsid w:val="0058660F"/>
    <w:rsid w:val="00685E19"/>
    <w:rsid w:val="0074389E"/>
    <w:rsid w:val="0079305C"/>
    <w:rsid w:val="007E608E"/>
    <w:rsid w:val="0084397F"/>
    <w:rsid w:val="0086530E"/>
    <w:rsid w:val="00896047"/>
    <w:rsid w:val="00A729EF"/>
    <w:rsid w:val="00AC41F5"/>
    <w:rsid w:val="00BC6A1D"/>
    <w:rsid w:val="00C06D27"/>
    <w:rsid w:val="00C302E0"/>
    <w:rsid w:val="00C333A2"/>
    <w:rsid w:val="00C51ADE"/>
    <w:rsid w:val="00CC79A1"/>
    <w:rsid w:val="00D57DB1"/>
    <w:rsid w:val="00D677B9"/>
    <w:rsid w:val="00D841B8"/>
    <w:rsid w:val="00DA58EA"/>
    <w:rsid w:val="00DB762D"/>
    <w:rsid w:val="00E17C9C"/>
    <w:rsid w:val="00EF0A86"/>
    <w:rsid w:val="00EF1645"/>
    <w:rsid w:val="00EF4AD0"/>
    <w:rsid w:val="00F14435"/>
    <w:rsid w:val="00FE6A00"/>
    <w:rsid w:val="00FF0E5C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4397"/>
  <w15:chartTrackingRefBased/>
  <w15:docId w15:val="{1709C4BA-E91F-4071-8187-1136D90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2023-04-27T09:02:00Z</cp:lastPrinted>
  <dcterms:created xsi:type="dcterms:W3CDTF">2023-04-26T11:55:00Z</dcterms:created>
  <dcterms:modified xsi:type="dcterms:W3CDTF">2023-04-27T13:47:00Z</dcterms:modified>
</cp:coreProperties>
</file>